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A1B6D" w14:textId="77777777" w:rsidR="00675EED" w:rsidRDefault="002515F0">
      <w:pPr>
        <w:pStyle w:val="Naslov1"/>
        <w:spacing w:before="66"/>
        <w:ind w:right="5820"/>
        <w:jc w:val="left"/>
      </w:pPr>
      <w:r>
        <w:t>ZAVOD ZA JAVNO ZDRAVSTVO ZADAR LJUDEVITA POSAVSKOG 7 A, ZADAR OIB: 30765863795</w:t>
      </w:r>
    </w:p>
    <w:p w14:paraId="48FAFC57" w14:textId="60113E46" w:rsidR="00675EED" w:rsidRDefault="002515F0">
      <w:pPr>
        <w:pStyle w:val="Tijeloteksta"/>
        <w:ind w:left="1440" w:right="8045"/>
      </w:pPr>
      <w:r>
        <w:t xml:space="preserve">Zadar, </w:t>
      </w:r>
      <w:r w:rsidR="0020301C">
        <w:t>2</w:t>
      </w:r>
      <w:r w:rsidR="00881BBE">
        <w:t>2</w:t>
      </w:r>
      <w:r w:rsidR="006D2915">
        <w:t xml:space="preserve">. </w:t>
      </w:r>
      <w:r w:rsidR="006238A2">
        <w:t>0</w:t>
      </w:r>
      <w:r w:rsidR="0020301C">
        <w:t>7</w:t>
      </w:r>
      <w:r>
        <w:t>. 202</w:t>
      </w:r>
      <w:r w:rsidR="008C5217">
        <w:t>5</w:t>
      </w:r>
      <w:r>
        <w:t>. god.</w:t>
      </w:r>
    </w:p>
    <w:p w14:paraId="4AF2F173" w14:textId="4CDBACD0" w:rsidR="008412A2" w:rsidRDefault="006D2915" w:rsidP="008412A2">
      <w:pPr>
        <w:pStyle w:val="Tijeloteksta"/>
        <w:ind w:left="1440" w:right="8045"/>
      </w:pPr>
      <w:proofErr w:type="spellStart"/>
      <w:r>
        <w:t>Urbroj</w:t>
      </w:r>
      <w:proofErr w:type="spellEnd"/>
      <w:r>
        <w:t>: 01-</w:t>
      </w:r>
      <w:r w:rsidR="0020301C">
        <w:t xml:space="preserve"> </w:t>
      </w:r>
      <w:r w:rsidR="00881BBE">
        <w:t>1900</w:t>
      </w:r>
      <w:r w:rsidR="005F7CE7">
        <w:t>/202</w:t>
      </w:r>
      <w:r w:rsidR="008C5217">
        <w:t>5</w:t>
      </w:r>
    </w:p>
    <w:p w14:paraId="6E6F497E" w14:textId="77777777" w:rsidR="008412A2" w:rsidRDefault="008412A2" w:rsidP="008412A2">
      <w:pPr>
        <w:pStyle w:val="Tijeloteksta"/>
        <w:ind w:left="1440" w:right="8045"/>
      </w:pPr>
    </w:p>
    <w:p w14:paraId="3E6358D1" w14:textId="77777777" w:rsidR="008412A2" w:rsidRDefault="008412A2" w:rsidP="008412A2">
      <w:pPr>
        <w:pStyle w:val="Tijeloteksta"/>
        <w:ind w:left="1440" w:right="8045"/>
      </w:pPr>
    </w:p>
    <w:p w14:paraId="07A0A1A2" w14:textId="01B298BD" w:rsidR="004E38CC" w:rsidRDefault="004E38CC" w:rsidP="004E38CC">
      <w:pPr>
        <w:spacing w:line="274" w:lineRule="exact"/>
        <w:ind w:left="1440" w:right="1259"/>
        <w:jc w:val="center"/>
        <w:rPr>
          <w:b/>
          <w:sz w:val="24"/>
        </w:rPr>
      </w:pPr>
      <w:r>
        <w:rPr>
          <w:b/>
          <w:sz w:val="24"/>
        </w:rPr>
        <w:t xml:space="preserve">OBRAZLOŽENJE </w:t>
      </w:r>
      <w:r w:rsidR="0020301C">
        <w:rPr>
          <w:b/>
          <w:sz w:val="24"/>
        </w:rPr>
        <w:t>POLU</w:t>
      </w:r>
      <w:r>
        <w:rPr>
          <w:b/>
          <w:sz w:val="24"/>
        </w:rPr>
        <w:t xml:space="preserve">GODIŠNJEG IZVJEŠTAJA O </w:t>
      </w:r>
    </w:p>
    <w:p w14:paraId="1F8AE508" w14:textId="5169F2C2" w:rsidR="008412A2" w:rsidRDefault="004E38CC" w:rsidP="004E38CC">
      <w:pPr>
        <w:spacing w:line="274" w:lineRule="exact"/>
        <w:ind w:left="1440" w:right="1259"/>
        <w:jc w:val="center"/>
        <w:rPr>
          <w:b/>
          <w:sz w:val="24"/>
        </w:rPr>
      </w:pPr>
      <w:r>
        <w:rPr>
          <w:b/>
          <w:sz w:val="24"/>
        </w:rPr>
        <w:t>IZVRŠENJU FINANCIJSKOG PLANA ZA 202</w:t>
      </w:r>
      <w:r w:rsidR="008C5217">
        <w:rPr>
          <w:b/>
          <w:sz w:val="24"/>
        </w:rPr>
        <w:t>5</w:t>
      </w:r>
      <w:r>
        <w:rPr>
          <w:b/>
          <w:sz w:val="24"/>
        </w:rPr>
        <w:t>. GODINU</w:t>
      </w:r>
    </w:p>
    <w:p w14:paraId="2E8118E2" w14:textId="77777777" w:rsidR="008412A2" w:rsidRDefault="008412A2" w:rsidP="00E300CD">
      <w:pPr>
        <w:spacing w:line="274" w:lineRule="exact"/>
        <w:ind w:left="1440" w:right="1259"/>
        <w:jc w:val="both"/>
        <w:rPr>
          <w:b/>
          <w:sz w:val="24"/>
        </w:rPr>
      </w:pPr>
    </w:p>
    <w:p w14:paraId="41D0631A" w14:textId="642373DF" w:rsidR="00016941" w:rsidRDefault="00016941" w:rsidP="00016941">
      <w:pPr>
        <w:pStyle w:val="Tijeloteksta"/>
        <w:ind w:left="1440" w:right="1259"/>
        <w:jc w:val="both"/>
      </w:pPr>
      <w:r>
        <w:t xml:space="preserve">Obrazloženje </w:t>
      </w:r>
      <w:r w:rsidR="00965787">
        <w:t>polu</w:t>
      </w:r>
      <w:r>
        <w:t>godišnjeg izvještaja o izvršenju financijskog plana za 202</w:t>
      </w:r>
      <w:r w:rsidR="008C5217">
        <w:t>5</w:t>
      </w:r>
      <w:r>
        <w:t>. godinu se daje temeljem Pravilnika o polugodišnjem i godišnjem izvještaju o izvršenju proračuna i financijskog plana (NN 85/2023).</w:t>
      </w:r>
    </w:p>
    <w:p w14:paraId="0A95578D" w14:textId="77777777" w:rsidR="008C5217" w:rsidRDefault="008C5217" w:rsidP="00E300CD">
      <w:pPr>
        <w:spacing w:line="274" w:lineRule="exact"/>
        <w:ind w:left="1440" w:right="1259"/>
        <w:jc w:val="both"/>
        <w:rPr>
          <w:b/>
          <w:sz w:val="24"/>
        </w:rPr>
      </w:pPr>
    </w:p>
    <w:p w14:paraId="2B9DFC82" w14:textId="77777777" w:rsidR="00675EED" w:rsidRDefault="002515F0" w:rsidP="00E300CD">
      <w:pPr>
        <w:spacing w:line="274" w:lineRule="exact"/>
        <w:ind w:left="1440" w:right="1259"/>
        <w:jc w:val="both"/>
        <w:rPr>
          <w:b/>
          <w:sz w:val="24"/>
        </w:rPr>
      </w:pPr>
      <w:r>
        <w:rPr>
          <w:b/>
          <w:sz w:val="24"/>
        </w:rPr>
        <w:t>Djelokrug rada Zavoda za javno zdravstvo Zadar</w:t>
      </w:r>
    </w:p>
    <w:p w14:paraId="66ECE09D" w14:textId="77777777" w:rsidR="00675EED" w:rsidRDefault="002515F0" w:rsidP="00E300CD">
      <w:pPr>
        <w:pStyle w:val="Tijeloteksta"/>
        <w:ind w:left="1440" w:right="1259"/>
        <w:jc w:val="both"/>
      </w:pPr>
      <w:r>
        <w:t>Zavod za javno zdravstvo Zadar (dalje u tekstu: Zavod) je zdravstvena ustanova osnovana za trajno obavljanje javnozdravstvene djelatnosti na području Zadarske županije, a koja djelatnost je Zakonom o zdravstvenoj zaštiti utvrđena kao djelatnost od interesa za Republiku Hrvatsku. U svom sastavu objedinjuje rad stručnih službi iz slijedećih područja: epidemiologije, javnog zdravstva, školske i adolescentne medicine, mentalnog zdravlja i prevencije ovisnosti, mikrobiologije i parazitologije te zdravstvene ekologije i zaštite okoliša. Provodi niz preventivnih i javnozdravstvenih mjera za zaštitu zdravlja sveukupnog stanovništva na području Zadarske županije u cilju pružanja preventivne zdravstvene zaštite i promicanja zdravlja i to kroz specijalističko-konzilijarnu zaštitu i preventivne mjere.</w:t>
      </w:r>
    </w:p>
    <w:p w14:paraId="2871DBA0" w14:textId="77777777" w:rsidR="00675EED" w:rsidRDefault="002515F0" w:rsidP="00E300CD">
      <w:pPr>
        <w:pStyle w:val="Tijeloteksta"/>
        <w:ind w:left="1440" w:right="1259"/>
        <w:jc w:val="both"/>
      </w:pPr>
      <w:r>
        <w:t>Zavod razvija sustav kvalitete i njeguje načela izvrsnosti što je rezultiralo dobivenim potvrdama Nacionalnog tijela za akreditaciju - Hrvatske akreditacijske agencije.</w:t>
      </w:r>
    </w:p>
    <w:p w14:paraId="330354E1" w14:textId="77777777" w:rsidR="00675EED" w:rsidRDefault="002515F0" w:rsidP="00E300CD">
      <w:pPr>
        <w:pStyle w:val="Tijeloteksta"/>
        <w:ind w:left="1440" w:right="1259"/>
        <w:jc w:val="both"/>
      </w:pPr>
      <w:r>
        <w:t xml:space="preserve">Neki od ciljeva Zavoda su: smanjenje zaraznih i nezaraznih bolesti, produljenje životnog vijeka stanovništva, osiguranje kontinuiranog obavljanja zakonom propisane djelatnosti, smanjenje raširenosti zlouporabe droga kroz mjere primarne, sekundarne i tercijarne prevencije ovisnosti, </w:t>
      </w:r>
      <w:r>
        <w:rPr>
          <w:rFonts w:ascii="Calibri" w:hAnsi="Calibri"/>
          <w:sz w:val="22"/>
        </w:rPr>
        <w:t>s</w:t>
      </w:r>
      <w:r>
        <w:t>manjenje morbiditeta i mortaliteta kod raka debelog crijeva, raka dojke i raka grlića maternice putem mjera prevencije i promicanja zdravlja, uvođenje novih preventivnih aktivnosti uz osigurano financiranje, dobivanje novih potvrda i proširenje već dobivenih akreditacija za laboratorije Službe za mikrobiologiju s parazitologijom i Službe za zdravstvenu ekologiju i zaštitu okoliša, trajna edukacija zaposlenih zbog novih metoda rada, uvođenje znanstveno-istraživačkog i stručnog rada te potpuna informatizacija</w:t>
      </w:r>
      <w:r>
        <w:rPr>
          <w:spacing w:val="-11"/>
        </w:rPr>
        <w:t xml:space="preserve"> </w:t>
      </w:r>
      <w:r>
        <w:t>Zavoda.</w:t>
      </w:r>
    </w:p>
    <w:p w14:paraId="56C0D8E9" w14:textId="77777777" w:rsidR="00BB5106" w:rsidRDefault="00BB5106" w:rsidP="00E300CD">
      <w:pPr>
        <w:pStyle w:val="Tijeloteksta"/>
        <w:ind w:left="1440" w:right="1259"/>
        <w:jc w:val="both"/>
      </w:pPr>
    </w:p>
    <w:p w14:paraId="547C1A75" w14:textId="308265D9" w:rsidR="00016941" w:rsidRDefault="004A56E8" w:rsidP="00E300CD">
      <w:pPr>
        <w:pStyle w:val="Tijeloteksta"/>
        <w:ind w:left="1440" w:right="1259"/>
        <w:jc w:val="both"/>
      </w:pPr>
      <w:r w:rsidRPr="004A56E8">
        <w:t>Financijska izvješća Zavoda za razdoblje 01. 01. - 30. 06. 2025. godine sastavljena su u skladu sa Zakonom o proračunu (NN 144/21), Pravilnikom o proračunskom računovodstvu i Računskom planu (NN 158/23) te Pravilnikom o izmjenama i dopunama Pravilnika o financijskom izvještavanju u proračunskom računovodstvu (NN 52/25), a prema Okružnici Ministarstva financija RH o sastavljanju i predaji financijskih izvještaja proračuna, proračunskih i izvanproračunskih korisnika državnog proračuna te proračunskih i izvanproračunskih korisnika proračuna jedinica lokalne i područne (regionalne) samouprave za razdoblje od 1. siječnja do 30. lipnja 2025., KLASA: 400-02/25-01/14 URBROJ: 513-05-03-25-2 od dana 04. srpnja 2025. god.</w:t>
      </w:r>
    </w:p>
    <w:p w14:paraId="3F17D757" w14:textId="77777777" w:rsidR="00973966" w:rsidRDefault="00973966" w:rsidP="00840D93">
      <w:pPr>
        <w:pStyle w:val="Tijeloteksta"/>
        <w:ind w:left="1440" w:right="1259"/>
        <w:jc w:val="both"/>
        <w:rPr>
          <w:b/>
          <w:bCs/>
        </w:rPr>
      </w:pPr>
    </w:p>
    <w:p w14:paraId="10ACF528" w14:textId="77777777" w:rsidR="00973966" w:rsidRDefault="00973966" w:rsidP="00840D93">
      <w:pPr>
        <w:pStyle w:val="Tijeloteksta"/>
        <w:ind w:left="1440" w:right="1259"/>
        <w:jc w:val="both"/>
        <w:rPr>
          <w:b/>
          <w:bCs/>
        </w:rPr>
      </w:pPr>
    </w:p>
    <w:p w14:paraId="5645BD1F" w14:textId="77777777" w:rsidR="00973966" w:rsidRDefault="00973966" w:rsidP="00840D93">
      <w:pPr>
        <w:pStyle w:val="Tijeloteksta"/>
        <w:ind w:left="1440" w:right="1259"/>
        <w:jc w:val="both"/>
        <w:rPr>
          <w:b/>
          <w:bCs/>
        </w:rPr>
      </w:pPr>
    </w:p>
    <w:p w14:paraId="4C7533F0" w14:textId="77777777" w:rsidR="00973966" w:rsidRDefault="00973966" w:rsidP="00840D93">
      <w:pPr>
        <w:pStyle w:val="Tijeloteksta"/>
        <w:ind w:left="1440" w:right="1259"/>
        <w:jc w:val="both"/>
        <w:rPr>
          <w:b/>
          <w:bCs/>
        </w:rPr>
      </w:pPr>
    </w:p>
    <w:p w14:paraId="47566AAF" w14:textId="77777777" w:rsidR="00973966" w:rsidRDefault="00973966" w:rsidP="00840D93">
      <w:pPr>
        <w:pStyle w:val="Tijeloteksta"/>
        <w:ind w:left="1440" w:right="1259"/>
        <w:jc w:val="both"/>
        <w:rPr>
          <w:b/>
          <w:bCs/>
        </w:rPr>
      </w:pPr>
    </w:p>
    <w:p w14:paraId="59479603" w14:textId="77777777" w:rsidR="00973966" w:rsidRDefault="00973966" w:rsidP="00840D93">
      <w:pPr>
        <w:pStyle w:val="Tijeloteksta"/>
        <w:ind w:left="1440" w:right="1259"/>
        <w:jc w:val="both"/>
        <w:rPr>
          <w:b/>
          <w:bCs/>
        </w:rPr>
      </w:pPr>
    </w:p>
    <w:p w14:paraId="158A009D" w14:textId="77777777" w:rsidR="004A56E8" w:rsidRDefault="004A56E8" w:rsidP="00840D93">
      <w:pPr>
        <w:pStyle w:val="Tijeloteksta"/>
        <w:ind w:left="1440" w:right="1259"/>
        <w:jc w:val="both"/>
        <w:rPr>
          <w:b/>
          <w:bCs/>
        </w:rPr>
      </w:pPr>
    </w:p>
    <w:p w14:paraId="6A464526" w14:textId="77777777" w:rsidR="004A56E8" w:rsidRDefault="004A56E8" w:rsidP="00840D93">
      <w:pPr>
        <w:pStyle w:val="Tijeloteksta"/>
        <w:ind w:left="1440" w:right="1259"/>
        <w:jc w:val="both"/>
        <w:rPr>
          <w:b/>
          <w:bCs/>
        </w:rPr>
      </w:pPr>
    </w:p>
    <w:p w14:paraId="2A52D426" w14:textId="77777777" w:rsidR="00973966" w:rsidRDefault="00973966" w:rsidP="00840D93">
      <w:pPr>
        <w:pStyle w:val="Tijeloteksta"/>
        <w:ind w:left="1440" w:right="1259"/>
        <w:jc w:val="both"/>
        <w:rPr>
          <w:b/>
          <w:bCs/>
        </w:rPr>
      </w:pPr>
    </w:p>
    <w:p w14:paraId="0805B226" w14:textId="52752E85" w:rsidR="00840D93" w:rsidRPr="00840D93" w:rsidRDefault="00C66166" w:rsidP="00840D93">
      <w:pPr>
        <w:pStyle w:val="Tijeloteksta"/>
        <w:ind w:left="1440" w:right="1259"/>
        <w:jc w:val="both"/>
        <w:rPr>
          <w:b/>
          <w:bCs/>
        </w:rPr>
      </w:pPr>
      <w:r w:rsidRPr="00903A08">
        <w:rPr>
          <w:b/>
          <w:bCs/>
        </w:rPr>
        <w:lastRenderedPageBreak/>
        <w:t xml:space="preserve">OBRAZLOŽENJE OPĆEG DIJELA </w:t>
      </w:r>
      <w:r w:rsidR="00142A4F">
        <w:rPr>
          <w:b/>
          <w:bCs/>
        </w:rPr>
        <w:t>POLU</w:t>
      </w:r>
      <w:r w:rsidR="00840D93" w:rsidRPr="00840D93">
        <w:rPr>
          <w:b/>
          <w:bCs/>
        </w:rPr>
        <w:t xml:space="preserve">GODIŠNJEG IZVJEŠTAJA O </w:t>
      </w:r>
    </w:p>
    <w:p w14:paraId="385EE81D" w14:textId="01F6F135" w:rsidR="00BB5106" w:rsidRPr="00903A08" w:rsidRDefault="00840D93" w:rsidP="00840D93">
      <w:pPr>
        <w:pStyle w:val="Tijeloteksta"/>
        <w:ind w:left="1440" w:right="1259"/>
        <w:jc w:val="both"/>
        <w:rPr>
          <w:b/>
          <w:bCs/>
        </w:rPr>
      </w:pPr>
      <w:r w:rsidRPr="00840D93">
        <w:rPr>
          <w:b/>
          <w:bCs/>
        </w:rPr>
        <w:t>IZVRŠENJU FINANCIJSKOG PLANA ZA 202</w:t>
      </w:r>
      <w:r w:rsidR="004A56E8">
        <w:rPr>
          <w:b/>
          <w:bCs/>
        </w:rPr>
        <w:t>5</w:t>
      </w:r>
      <w:r w:rsidRPr="00840D93">
        <w:rPr>
          <w:b/>
          <w:bCs/>
        </w:rPr>
        <w:t>. GODINU</w:t>
      </w:r>
    </w:p>
    <w:p w14:paraId="38D7F9BF" w14:textId="5DDADD0D" w:rsidR="0075446C" w:rsidRDefault="0075446C" w:rsidP="00E300CD">
      <w:pPr>
        <w:pStyle w:val="Tijeloteksta"/>
        <w:ind w:left="1440" w:right="1259"/>
        <w:jc w:val="both"/>
        <w:rPr>
          <w:b/>
          <w:bCs/>
          <w:sz w:val="28"/>
          <w:szCs w:val="28"/>
        </w:rPr>
      </w:pPr>
      <w:r>
        <w:rPr>
          <w:b/>
          <w:bCs/>
          <w:sz w:val="28"/>
          <w:szCs w:val="28"/>
        </w:rPr>
        <w:t>Sažetak</w:t>
      </w:r>
      <w:r w:rsidR="003327DD">
        <w:rPr>
          <w:b/>
          <w:bCs/>
          <w:sz w:val="28"/>
          <w:szCs w:val="28"/>
        </w:rPr>
        <w:t xml:space="preserve"> Računa prihoda i rashoda i računa financiranja</w:t>
      </w:r>
      <w:r>
        <w:rPr>
          <w:b/>
          <w:bCs/>
          <w:sz w:val="28"/>
          <w:szCs w:val="28"/>
        </w:rPr>
        <w:t>:</w:t>
      </w:r>
    </w:p>
    <w:p w14:paraId="515F828E" w14:textId="77777777" w:rsidR="0062650F" w:rsidRDefault="0062650F" w:rsidP="00E300CD">
      <w:pPr>
        <w:pStyle w:val="Tijeloteksta"/>
        <w:ind w:left="1440" w:right="1259"/>
        <w:jc w:val="both"/>
        <w:rPr>
          <w:b/>
          <w:bCs/>
          <w:sz w:val="28"/>
          <w:szCs w:val="28"/>
        </w:rPr>
      </w:pPr>
    </w:p>
    <w:p w14:paraId="5820749A" w14:textId="0EAC7A33" w:rsidR="0062650F" w:rsidRDefault="00AD5BCF" w:rsidP="00EE6513">
      <w:pPr>
        <w:pStyle w:val="Tijeloteksta"/>
        <w:ind w:left="340" w:right="1077"/>
        <w:rPr>
          <w:b/>
          <w:bCs/>
          <w:sz w:val="28"/>
          <w:szCs w:val="28"/>
        </w:rPr>
      </w:pPr>
      <w:r w:rsidRPr="00AD5BCF">
        <w:rPr>
          <w:noProof/>
          <w:lang w:eastAsia="hr-HR"/>
        </w:rPr>
        <w:drawing>
          <wp:inline distT="0" distB="0" distL="0" distR="0" wp14:anchorId="3AE25B7E" wp14:editId="194EC086">
            <wp:extent cx="6857782" cy="301942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4454" cy="3035571"/>
                    </a:xfrm>
                    <a:prstGeom prst="rect">
                      <a:avLst/>
                    </a:prstGeom>
                    <a:noFill/>
                    <a:ln>
                      <a:noFill/>
                    </a:ln>
                  </pic:spPr>
                </pic:pic>
              </a:graphicData>
            </a:graphic>
          </wp:inline>
        </w:drawing>
      </w:r>
    </w:p>
    <w:p w14:paraId="1FE1D1EF" w14:textId="77777777" w:rsidR="00840D93" w:rsidRDefault="00840D93" w:rsidP="00E300CD">
      <w:pPr>
        <w:pStyle w:val="Tijeloteksta"/>
        <w:ind w:left="1440" w:right="1259"/>
        <w:jc w:val="both"/>
        <w:rPr>
          <w:b/>
          <w:bCs/>
          <w:sz w:val="28"/>
          <w:szCs w:val="28"/>
        </w:rPr>
      </w:pPr>
    </w:p>
    <w:p w14:paraId="0BFE8F7B" w14:textId="3681F94C" w:rsidR="007F33DA" w:rsidRDefault="007F33DA" w:rsidP="00212FBB">
      <w:pPr>
        <w:pStyle w:val="Tijeloteksta"/>
        <w:numPr>
          <w:ilvl w:val="0"/>
          <w:numId w:val="11"/>
        </w:numPr>
        <w:ind w:right="1259"/>
        <w:jc w:val="both"/>
      </w:pPr>
      <w:r>
        <w:t>Stupac 2. –</w:t>
      </w:r>
      <w:r w:rsidR="0026427B">
        <w:t xml:space="preserve"> </w:t>
      </w:r>
      <w:r w:rsidRPr="00B345E3">
        <w:t xml:space="preserve">prikazano </w:t>
      </w:r>
      <w:r w:rsidR="0026427B">
        <w:t xml:space="preserve">je </w:t>
      </w:r>
      <w:r w:rsidRPr="00B345E3">
        <w:t>izvršenje polugodišnjeg financijskog plana za 202</w:t>
      </w:r>
      <w:r w:rsidR="00AD5BCF">
        <w:t>4</w:t>
      </w:r>
      <w:r w:rsidRPr="00B345E3">
        <w:t xml:space="preserve">. godinu čiji su podaci preuzeti iz PRRAS obrasca predanog u zakonskom roku sukladno </w:t>
      </w:r>
      <w:r w:rsidRPr="00E13182">
        <w:t xml:space="preserve">Okružnici Ministarstva financija RH o sastavljanju i predaji financijskih izvještaja proračuna, proračunskih i izvanproračunskih korisnika državnog proračuna te proračunskih i izvanproračunskih korisnika proračuna jedinica lokalne i područne (regionalne) samouprave za razdoblje </w:t>
      </w:r>
      <w:r w:rsidR="00212FBB" w:rsidRPr="00212FBB">
        <w:t>od 1. siječnja do 30. lipnja 2024., KLASA: 400-02/24-01/19 URBROJ: 513-05-03-24-2 od dana 01. srpnja 2024. god</w:t>
      </w:r>
      <w:r w:rsidRPr="00E13182">
        <w:t>.</w:t>
      </w:r>
    </w:p>
    <w:p w14:paraId="0B516995" w14:textId="1162A9CE" w:rsidR="004A5E92" w:rsidRDefault="007F33DA" w:rsidP="00CF7709">
      <w:pPr>
        <w:pStyle w:val="Tijeloteksta"/>
        <w:numPr>
          <w:ilvl w:val="0"/>
          <w:numId w:val="11"/>
        </w:numPr>
        <w:ind w:right="1259"/>
        <w:jc w:val="both"/>
      </w:pPr>
      <w:r>
        <w:t xml:space="preserve">Stupac 3. - </w:t>
      </w:r>
      <w:r w:rsidRPr="0079196F">
        <w:t>Nacrt prijedloga financijskog plana za 202</w:t>
      </w:r>
      <w:r w:rsidR="00197BCE">
        <w:t>5</w:t>
      </w:r>
      <w:r w:rsidRPr="0079196F">
        <w:t>. god i projekcije za 202</w:t>
      </w:r>
      <w:r w:rsidR="00197BCE">
        <w:t>6</w:t>
      </w:r>
      <w:r w:rsidRPr="0079196F">
        <w:t>. i 202</w:t>
      </w:r>
      <w:r w:rsidR="00197BCE">
        <w:t>7</w:t>
      </w:r>
      <w:r w:rsidR="00CF7709">
        <w:t xml:space="preserve">. godinu. </w:t>
      </w:r>
      <w:r w:rsidR="004A5E92">
        <w:t>Nacrt prijedloga financijskog plana za 2025. god i projekcije za 2026. i 2027. godinu kao i prijedlog njegovog uravnoteženja, izrađen je u skladu sa odredbama Zakona o proračunu (NN 144/21), a prema dobivenim Uputama Zadarske županije dobivenim pute elektronske pošte dana 01. listopada 2024. g., oznake KLASA: 400-01/24-01/12, URBROJ: 2198-01-24-1, te je isti usvojen od strane Upravnog vijeća Odlukom broj: 02-2443/24 dana 07.10. 2024.g.</w:t>
      </w:r>
    </w:p>
    <w:p w14:paraId="095E1ECD" w14:textId="482AC914" w:rsidR="00197BCE" w:rsidRDefault="004A5E92" w:rsidP="004A5E92">
      <w:pPr>
        <w:pStyle w:val="Tijeloteksta"/>
        <w:ind w:left="1800" w:right="1259"/>
        <w:jc w:val="both"/>
      </w:pPr>
      <w:r>
        <w:t>Sukladno čl.38. stavak 6. i 7. Zakona o proračunu (NN 144/21), u slučaju da se usvojeni financijski plan od strane Županijske skupštine razlikuje od usvojenog financijskog plana od strane Upravnog vijeća Zavoda za javno zdravstvo Zadar, Upravno vijeće  Zavoda usvaja financijski plan koji je sadržan u proračunu koje je donijelo predstavničko tijelo, u ov</w:t>
      </w:r>
      <w:r w:rsidR="00981710">
        <w:t>om slučaju Županijske skupštine</w:t>
      </w:r>
      <w:r w:rsidR="00CD4019" w:rsidRPr="00CD4019">
        <w:t xml:space="preserve"> </w:t>
      </w:r>
      <w:r w:rsidR="00CD4019">
        <w:t>Budući se usvojeni financijski plan od strane Županijske skupštine razlikovao, neznatno, od već usvojenog nacrta prijedloga financijskog plana,  Upravno vijeće je na sjednici održanoj dana 19. 12. 2024. godine, usvojilo financijski plan Zavoda za 2025.godinu a koji je usvojen od Županijske skupštine, broj odluke:</w:t>
      </w:r>
      <w:r w:rsidR="00981710">
        <w:t xml:space="preserve"> 02-3183/24</w:t>
      </w:r>
      <w:r w:rsidR="004642F1">
        <w:t>.</w:t>
      </w:r>
    </w:p>
    <w:p w14:paraId="11587A6C" w14:textId="71FCF300" w:rsidR="007F33DA" w:rsidRDefault="007F33DA" w:rsidP="004642F1">
      <w:pPr>
        <w:pStyle w:val="Tijeloteksta"/>
        <w:ind w:left="1800" w:right="1259"/>
        <w:jc w:val="both"/>
      </w:pPr>
      <w:r>
        <w:t>Rađen je u 4. kvartalu 202</w:t>
      </w:r>
      <w:r w:rsidR="005363F5">
        <w:t>4</w:t>
      </w:r>
      <w:r>
        <w:t>.g. zbog čega u njemu nije vidljiv manjak poslovanja iz 202</w:t>
      </w:r>
      <w:r w:rsidR="005363F5">
        <w:t>4</w:t>
      </w:r>
      <w:r>
        <w:t>.godine koji se u trenutku izrade financijskog plana za 202</w:t>
      </w:r>
      <w:r w:rsidR="005363F5">
        <w:t>5</w:t>
      </w:r>
      <w:r>
        <w:t xml:space="preserve">. nije znao, a što je vidljivo i u Sažetku financiranja. </w:t>
      </w:r>
    </w:p>
    <w:p w14:paraId="0E3CE03F" w14:textId="16FB0AF3" w:rsidR="007F33DA" w:rsidRDefault="007F33DA" w:rsidP="00FD5131">
      <w:pPr>
        <w:pStyle w:val="Tijeloteksta"/>
        <w:numPr>
          <w:ilvl w:val="0"/>
          <w:numId w:val="11"/>
        </w:numPr>
        <w:ind w:right="1259"/>
        <w:jc w:val="both"/>
      </w:pPr>
      <w:r>
        <w:t>Stupac 4. - U Izmjenama i dopunama financijskog plana za 202</w:t>
      </w:r>
      <w:r w:rsidR="000C15D8">
        <w:t>5</w:t>
      </w:r>
      <w:r>
        <w:t>. g. (1. rebalans) je planiran preneseni manjak iz 202</w:t>
      </w:r>
      <w:r w:rsidR="000C15D8">
        <w:t>4</w:t>
      </w:r>
      <w:r>
        <w:t>.godine</w:t>
      </w:r>
      <w:r w:rsidR="00692B8C">
        <w:t xml:space="preserve"> i raspodjela rezultata poslovanja</w:t>
      </w:r>
      <w:r>
        <w:t xml:space="preserve"> temeljem Odluke broj:</w:t>
      </w:r>
      <w:r w:rsidR="00923853">
        <w:t xml:space="preserve">02-404/25 od 10.02.2025.g. Prve izmjene i dopune financijskog plana za 2025.g. usvojene su dana 28.05.2025., broj Odluke: </w:t>
      </w:r>
      <w:r>
        <w:t xml:space="preserve"> 02-</w:t>
      </w:r>
      <w:r w:rsidR="00057281">
        <w:t>1359/25</w:t>
      </w:r>
      <w:r>
        <w:t>.</w:t>
      </w:r>
    </w:p>
    <w:p w14:paraId="23088837" w14:textId="6D119EA3" w:rsidR="006D2A54" w:rsidRDefault="00C95A9F" w:rsidP="00D13AEE">
      <w:pPr>
        <w:pStyle w:val="Tijeloteksta"/>
        <w:numPr>
          <w:ilvl w:val="0"/>
          <w:numId w:val="11"/>
        </w:numPr>
        <w:ind w:right="1259"/>
        <w:jc w:val="both"/>
      </w:pPr>
      <w:r>
        <w:t xml:space="preserve">Stupac 5. - </w:t>
      </w:r>
      <w:r w:rsidR="009C16B9">
        <w:t xml:space="preserve">U sažetku </w:t>
      </w:r>
      <w:r w:rsidR="006620F7">
        <w:t>Računa prihoda i</w:t>
      </w:r>
      <w:r w:rsidR="00576036">
        <w:t xml:space="preserve"> rashoda je prikazano izvršenje polugodišnjeg </w:t>
      </w:r>
      <w:r w:rsidR="006620F7">
        <w:t>financijskog plana za 202</w:t>
      </w:r>
      <w:r w:rsidR="00342EF5">
        <w:t>5</w:t>
      </w:r>
      <w:r w:rsidR="006620F7">
        <w:t>. godinu</w:t>
      </w:r>
      <w:r w:rsidR="009A7E0C">
        <w:t xml:space="preserve"> čiji su podaci </w:t>
      </w:r>
      <w:r w:rsidR="00711A9E">
        <w:t xml:space="preserve">preuzeti </w:t>
      </w:r>
      <w:r w:rsidR="009A7E0C">
        <w:t xml:space="preserve">iz PRRAS obrasca predanog u </w:t>
      </w:r>
      <w:r w:rsidR="009A7E0C">
        <w:lastRenderedPageBreak/>
        <w:t xml:space="preserve">zakonskom roku sukladno </w:t>
      </w:r>
      <w:r w:rsidR="0079196F" w:rsidRPr="0079196F">
        <w:t xml:space="preserve">Okružnici Ministarstva financija RH o sastavljanju i predaji financijskih izvještaja proračuna, proračunskih i izvanproračunskih korisnika državnog proračuna te proračunskih i izvanproračunskih korisnika proračuna jedinica lokalne i područne (regionalne) samouprave za razdoblje od </w:t>
      </w:r>
      <w:r w:rsidR="00D13AEE" w:rsidRPr="00D13AEE">
        <w:t>1. siječnja do 30. lipnja 2025., KLASA: 400-02/25-01/14 URBROJ: 513-05-03-25-2 od dana 04. srpnja 2025. god</w:t>
      </w:r>
      <w:r w:rsidR="00D13AEE">
        <w:t>.</w:t>
      </w:r>
    </w:p>
    <w:p w14:paraId="01542F0C" w14:textId="77777777" w:rsidR="00B044CC" w:rsidRDefault="00B044CC" w:rsidP="00B044CC">
      <w:pPr>
        <w:pStyle w:val="Tijeloteksta"/>
        <w:ind w:left="1800" w:right="1259"/>
        <w:jc w:val="both"/>
      </w:pPr>
    </w:p>
    <w:p w14:paraId="025AD370" w14:textId="537E967C" w:rsidR="008704B2" w:rsidRDefault="008704B2" w:rsidP="00711A9E">
      <w:pPr>
        <w:pStyle w:val="Tijeloteksta"/>
        <w:ind w:left="1800" w:right="1259"/>
        <w:jc w:val="both"/>
      </w:pPr>
      <w:r>
        <w:t xml:space="preserve">Iz računa prihoda i rashoda i računa financiranja </w:t>
      </w:r>
      <w:r w:rsidR="00315A86">
        <w:t xml:space="preserve">vidljivo je da je Zavoda </w:t>
      </w:r>
      <w:r w:rsidR="0045257F">
        <w:t xml:space="preserve">za javno zdravstvo Zadar </w:t>
      </w:r>
      <w:r w:rsidR="00B96EF3" w:rsidRPr="00365777">
        <w:rPr>
          <w:b/>
        </w:rPr>
        <w:t xml:space="preserve">u prvih šest mjeseci </w:t>
      </w:r>
      <w:r w:rsidR="0045257F" w:rsidRPr="00365777">
        <w:rPr>
          <w:b/>
        </w:rPr>
        <w:t>202</w:t>
      </w:r>
      <w:r w:rsidR="00D13AEE" w:rsidRPr="00365777">
        <w:rPr>
          <w:b/>
        </w:rPr>
        <w:t>5</w:t>
      </w:r>
      <w:r w:rsidR="0045257F">
        <w:t>. godin</w:t>
      </w:r>
      <w:r w:rsidR="00B96EF3">
        <w:t>e poslovao</w:t>
      </w:r>
      <w:r w:rsidR="0045257F">
        <w:t xml:space="preserve"> s </w:t>
      </w:r>
      <w:r w:rsidR="00D13AEE" w:rsidRPr="00365777">
        <w:rPr>
          <w:b/>
        </w:rPr>
        <w:t>viškom</w:t>
      </w:r>
      <w:r w:rsidR="0045257F" w:rsidRPr="00365777">
        <w:rPr>
          <w:b/>
        </w:rPr>
        <w:t xml:space="preserve"> u iznosu od </w:t>
      </w:r>
      <w:r w:rsidR="00D13AEE" w:rsidRPr="00365777">
        <w:rPr>
          <w:b/>
        </w:rPr>
        <w:t>845.061,63</w:t>
      </w:r>
      <w:r w:rsidR="00B96EF3" w:rsidRPr="00365777">
        <w:rPr>
          <w:b/>
        </w:rPr>
        <w:t xml:space="preserve"> eura</w:t>
      </w:r>
      <w:r w:rsidR="00030A8B">
        <w:t xml:space="preserve">, a s obzirom na </w:t>
      </w:r>
      <w:r w:rsidR="00030A8B" w:rsidRPr="00365777">
        <w:rPr>
          <w:b/>
        </w:rPr>
        <w:t xml:space="preserve">preneseni </w:t>
      </w:r>
      <w:r w:rsidR="00452BFD" w:rsidRPr="00365777">
        <w:rPr>
          <w:b/>
        </w:rPr>
        <w:t>manjak poslovanja iz 202</w:t>
      </w:r>
      <w:r w:rsidR="00D13AEE" w:rsidRPr="00365777">
        <w:rPr>
          <w:b/>
        </w:rPr>
        <w:t>4</w:t>
      </w:r>
      <w:r w:rsidR="00030A8B" w:rsidRPr="00365777">
        <w:rPr>
          <w:b/>
        </w:rPr>
        <w:t xml:space="preserve">. godine u iznosu od </w:t>
      </w:r>
      <w:r w:rsidR="00D13AEE" w:rsidRPr="00365777">
        <w:rPr>
          <w:b/>
        </w:rPr>
        <w:t>621.703,13</w:t>
      </w:r>
      <w:r w:rsidR="00030A8B">
        <w:t xml:space="preserve"> eura, Zavod je u </w:t>
      </w:r>
      <w:r w:rsidR="00452BFD">
        <w:t>prvih šest mjeseci 202</w:t>
      </w:r>
      <w:r w:rsidR="00D13AEE">
        <w:t>5</w:t>
      </w:r>
      <w:r w:rsidR="00452BFD">
        <w:t>. g</w:t>
      </w:r>
      <w:r w:rsidR="00030A8B">
        <w:t>odin</w:t>
      </w:r>
      <w:r w:rsidR="00452BFD">
        <w:t>e</w:t>
      </w:r>
      <w:r w:rsidR="00A8717F">
        <w:t xml:space="preserve"> </w:t>
      </w:r>
      <w:r w:rsidR="00030A8B">
        <w:t xml:space="preserve">ostvario </w:t>
      </w:r>
      <w:r w:rsidR="00D13AEE" w:rsidRPr="00365777">
        <w:rPr>
          <w:b/>
        </w:rPr>
        <w:t>višak</w:t>
      </w:r>
      <w:r w:rsidR="00030A8B" w:rsidRPr="00365777">
        <w:rPr>
          <w:b/>
        </w:rPr>
        <w:t xml:space="preserve"> u iznosu od </w:t>
      </w:r>
      <w:r w:rsidR="00D13AEE" w:rsidRPr="00365777">
        <w:rPr>
          <w:b/>
        </w:rPr>
        <w:t>223.358,50</w:t>
      </w:r>
      <w:r w:rsidR="00030A8B" w:rsidRPr="00365777">
        <w:rPr>
          <w:b/>
        </w:rPr>
        <w:t xml:space="preserve"> eura.</w:t>
      </w:r>
    </w:p>
    <w:p w14:paraId="10D1CC7A" w14:textId="77777777" w:rsidR="00163F28" w:rsidRDefault="00163F28" w:rsidP="00163F28">
      <w:pPr>
        <w:pStyle w:val="Tijeloteksta"/>
        <w:ind w:left="2160" w:right="1259"/>
        <w:jc w:val="both"/>
      </w:pPr>
    </w:p>
    <w:p w14:paraId="0EA15D00" w14:textId="77777777" w:rsidR="00BD0BFC" w:rsidRDefault="00BD0BFC" w:rsidP="00163F28">
      <w:pPr>
        <w:pStyle w:val="Tijeloteksta"/>
        <w:ind w:left="2160" w:right="1259"/>
        <w:jc w:val="both"/>
        <w:rPr>
          <w:b/>
          <w:bCs/>
        </w:rPr>
      </w:pPr>
    </w:p>
    <w:p w14:paraId="43216E9A" w14:textId="77777777" w:rsidR="00DB6EB6" w:rsidRPr="00E3580E" w:rsidRDefault="00DB6EB6" w:rsidP="00163F28">
      <w:pPr>
        <w:pStyle w:val="Tijeloteksta"/>
        <w:ind w:left="2160" w:right="1259"/>
        <w:jc w:val="both"/>
        <w:rPr>
          <w:b/>
          <w:bCs/>
        </w:rPr>
      </w:pPr>
      <w:r w:rsidRPr="00E3580E">
        <w:rPr>
          <w:b/>
          <w:bCs/>
        </w:rPr>
        <w:t>RAČUN PRIHODA I RASHODA PREMA EKONOMSKOJ KLASIFIKACIJI:</w:t>
      </w:r>
    </w:p>
    <w:p w14:paraId="0FF98A30" w14:textId="77777777" w:rsidR="00DB2657" w:rsidRDefault="00DB2657" w:rsidP="00DB6EB6">
      <w:pPr>
        <w:pStyle w:val="Tijeloteksta"/>
        <w:ind w:left="1800" w:right="1259"/>
        <w:jc w:val="both"/>
      </w:pPr>
    </w:p>
    <w:p w14:paraId="241C17DA" w14:textId="69ADDA05" w:rsidR="00ED2F77" w:rsidRPr="003D0AEB" w:rsidRDefault="00B374AB" w:rsidP="00ED2F77">
      <w:pPr>
        <w:pStyle w:val="Tijeloteksta"/>
        <w:ind w:left="1800" w:right="1259"/>
        <w:jc w:val="both"/>
        <w:rPr>
          <w:b/>
        </w:rPr>
      </w:pPr>
      <w:r>
        <w:rPr>
          <w:b/>
        </w:rPr>
        <w:t>1.) PRIHODI POSLOVANJA (</w:t>
      </w:r>
      <w:r w:rsidR="00FE1FA9">
        <w:rPr>
          <w:b/>
        </w:rPr>
        <w:t>red.br.</w:t>
      </w:r>
      <w:r>
        <w:rPr>
          <w:b/>
        </w:rPr>
        <w:t xml:space="preserve"> 1</w:t>
      </w:r>
      <w:r w:rsidR="00ED2F77" w:rsidRPr="003D0AEB">
        <w:rPr>
          <w:b/>
        </w:rPr>
        <w:t>) iznose 5.269.037,64 eura i veći su za 67,6% u odnosu na prošlogodišnje za isto izvještajno razdoblje.</w:t>
      </w:r>
    </w:p>
    <w:p w14:paraId="64CBD0F9" w14:textId="77777777" w:rsidR="00ED2F77" w:rsidRDefault="00ED2F77" w:rsidP="00ED2F77">
      <w:pPr>
        <w:pStyle w:val="Tijeloteksta"/>
        <w:ind w:left="1800" w:right="1259"/>
        <w:jc w:val="both"/>
      </w:pPr>
    </w:p>
    <w:p w14:paraId="7A1CC4EF" w14:textId="2444B5E3" w:rsidR="00ED2F77" w:rsidRDefault="00ED2F77" w:rsidP="00ED2F77">
      <w:pPr>
        <w:pStyle w:val="Tijeloteksta"/>
        <w:ind w:left="1800" w:right="1259"/>
        <w:jc w:val="both"/>
      </w:pPr>
      <w:r>
        <w:t>Pomoći iz inozemstva i od subjekata unutar općeg proračuna (</w:t>
      </w:r>
      <w:r w:rsidR="00FE1FA9">
        <w:t>red.br. 2</w:t>
      </w:r>
      <w:r>
        <w:t>) iznose 1.079.060,54 eura i veće su za 917,1% u odnosu na prošlogodišnje u istom izvještajnom razdoblju:</w:t>
      </w:r>
    </w:p>
    <w:p w14:paraId="3CBBF4EB" w14:textId="6D304E92" w:rsidR="00ED2F77" w:rsidRDefault="00ED2F77" w:rsidP="00ED2F77">
      <w:pPr>
        <w:pStyle w:val="Tijeloteksta"/>
        <w:ind w:left="1800" w:right="1259"/>
        <w:jc w:val="both"/>
      </w:pPr>
      <w:r>
        <w:t>•</w:t>
      </w:r>
      <w:r>
        <w:tab/>
        <w:t>ostvarene pomoći od izvanproračunskih korisnika (</w:t>
      </w:r>
      <w:r w:rsidR="00FE1FA9">
        <w:t>red.br. 5</w:t>
      </w:r>
      <w:r>
        <w:t>) u ovom izvještajnom razdoblju iznose 0,00 eura, dok su istom razdoblju prošle godine iznosile 42.202,54 eura, i sastojale su se od prihoda od HZZ-a za financiranje plaća pripravnika, te prihodi od HZZO-a za refundiranje troška posebne nagrade koja se temeljem Odluke Vlade Republike Hrvatske („Nar. nov.“, broj: 136/20) isplaćuje radnicima u sustavu zdravstva koji obavljaju poslove vezane za pružanje zdravstvene skrbi pacijentima oboljelima od bolesti COVID-19, a koja je ukinuta u kolovozu 2024.g.,</w:t>
      </w:r>
    </w:p>
    <w:p w14:paraId="11AFAB06" w14:textId="6CCAED5E" w:rsidR="00ED2F77" w:rsidRDefault="00ED2F77" w:rsidP="00ED2F77">
      <w:pPr>
        <w:pStyle w:val="Tijeloteksta"/>
        <w:ind w:left="1800" w:right="1259"/>
        <w:jc w:val="both"/>
      </w:pPr>
      <w:r>
        <w:t>•</w:t>
      </w:r>
      <w:r>
        <w:tab/>
        <w:t>pomoći proračunskim korisnicima iz proračuna koji im nije nadležan (</w:t>
      </w:r>
      <w:r w:rsidR="00D308CA">
        <w:t>red. br. 7</w:t>
      </w:r>
      <w:r>
        <w:t xml:space="preserve">) u iznosu od 799.679,16 eura, veće su u odnosu na prošlogodišnje u istom razdoblju kada su iznosile 5.000,00 eura. Od navedenog iznosa, iznos od 773.016,26 eura se odnosi na iznos primljenih cjepiva. Znači,  iznos od 773.016,26 eura se odnosi na vrijednost cjepiva koja je Zavod za javno zdravstvo Zadar dobio od strane Hrvatskog zavoda za javno zdravstvo. Naime, Zavod je i prije dobivao cjepiva za distribuciju, međutim, sukladno odredbama Pravilnika o računovodstvu i Računskom planu ( NN, br. 15/23), Ministarstvo financija je dostavilo Uputu za provođenje knjigovodstvenih evidencija nabave i distribucije cjepiva kod Hrvatskog zavoda za javno zdravstvo, Hrvatskog zavoda za zdravstveno osiguranje i županijskih zavoda za javno zdravstvo, KLASA: 011-01/23-01/23, URBROJ: 513-05-03-24-4, od 5. studenog 2024.godine. Temeljem navedene upute, Županijski zavodi za javno zdravstvo u svojim poslovnim knjigama evidentiraju prihod u vrijednosti zaprimljenih cjepiva na osnovnom računu 63612, i po izdavanju cjepiva sa skladišta domovima zdravlja i drugima koji sudjeluju u procesu cijepljenja evidentiraju rashod na osnovnom računu 32511 Rashodi po osnovi utroška lijekova. </w:t>
      </w:r>
    </w:p>
    <w:p w14:paraId="1B40BBE1" w14:textId="77777777" w:rsidR="00ED2F77" w:rsidRDefault="00ED2F77" w:rsidP="00ED2F77">
      <w:pPr>
        <w:pStyle w:val="Tijeloteksta"/>
        <w:ind w:left="1800" w:right="1259"/>
        <w:jc w:val="both"/>
      </w:pPr>
      <w:r>
        <w:t>Dakle, Zavod za javno zdravstvo Zadar je samo distributer centralno naručenog cjepiva od Hrvatskog zavoda za javno zdravstvo, a da pri tome nema nikakvih financijskih transakcija.</w:t>
      </w:r>
    </w:p>
    <w:p w14:paraId="1D747125" w14:textId="77777777" w:rsidR="00ED2F77" w:rsidRDefault="00ED2F77" w:rsidP="00ED2F77">
      <w:pPr>
        <w:pStyle w:val="Tijeloteksta"/>
        <w:ind w:left="1800" w:right="1259"/>
        <w:jc w:val="both"/>
      </w:pPr>
      <w:r>
        <w:t>Preostali iznos od 26.662,93 eura se odnosi na prihode zaprimljene od Grada Zadra i Općina za pružene usluge Savjetovališta za mentalno zdravlje i prevenciju ovisnosti s kojima je Zavod sklopio ugovore za predmetne usluge.</w:t>
      </w:r>
    </w:p>
    <w:p w14:paraId="17255A15" w14:textId="1DEEC128" w:rsidR="00ED2F77" w:rsidRDefault="00ED2F77" w:rsidP="00ED2F77">
      <w:pPr>
        <w:pStyle w:val="Tijeloteksta"/>
        <w:ind w:left="1800" w:right="1259"/>
        <w:jc w:val="both"/>
      </w:pPr>
      <w:r>
        <w:t>•</w:t>
      </w:r>
      <w:r>
        <w:tab/>
        <w:t xml:space="preserve">pomoći temeljem prijenosa EU sredstava </w:t>
      </w:r>
      <w:r w:rsidR="00D308CA">
        <w:t>(</w:t>
      </w:r>
      <w:proofErr w:type="spellStart"/>
      <w:r w:rsidR="00D308CA">
        <w:t>red,br</w:t>
      </w:r>
      <w:proofErr w:type="spellEnd"/>
      <w:r w:rsidR="00D308CA">
        <w:t>. 9</w:t>
      </w:r>
      <w:r>
        <w:t>) u iznosu od 279.381,39 eura su veće od prošlogodišnjih za</w:t>
      </w:r>
      <w:r w:rsidR="00D308CA">
        <w:t xml:space="preserve"> 374,4% i odnose se na prihode </w:t>
      </w:r>
      <w:r>
        <w:t xml:space="preserve">za EU projekt „Specijalističko usavršavanje doktora medicine“ u iznosu od 32.913,58 eura, AllerShield u iznosu od 6.845,02 eura, </w:t>
      </w:r>
      <w:proofErr w:type="spellStart"/>
      <w:r>
        <w:t>BeforeTime</w:t>
      </w:r>
      <w:proofErr w:type="spellEnd"/>
      <w:r>
        <w:t xml:space="preserve"> u iznosu od 83.452,33 eura i </w:t>
      </w:r>
      <w:proofErr w:type="spellStart"/>
      <w:r>
        <w:t>MicroDrink</w:t>
      </w:r>
      <w:proofErr w:type="spellEnd"/>
      <w:r>
        <w:t xml:space="preserve"> u iznosu od 25.154,33 eura i na prihod za EU projekt AllerShield u iznosu od 58.051,05 eura i prihode za EU projekt </w:t>
      </w:r>
      <w:proofErr w:type="spellStart"/>
      <w:r>
        <w:t>BeforeTime</w:t>
      </w:r>
      <w:proofErr w:type="spellEnd"/>
      <w:r>
        <w:t xml:space="preserve"> u iznosu od 72.965,07 eura, a koji će biti raspoređeni partnerima na projektu sukladno certificiranim troškovima za svakog od partnera, </w:t>
      </w:r>
    </w:p>
    <w:p w14:paraId="0EFD8F9B" w14:textId="77777777" w:rsidR="00ED2F77" w:rsidRDefault="00ED2F77" w:rsidP="00ED2F77">
      <w:pPr>
        <w:pStyle w:val="Tijeloteksta"/>
        <w:ind w:left="1800" w:right="1259"/>
        <w:jc w:val="both"/>
      </w:pPr>
    </w:p>
    <w:p w14:paraId="307AD4B9" w14:textId="2B264662" w:rsidR="00ED2F77" w:rsidRDefault="00ED2F77" w:rsidP="00ED2F77">
      <w:pPr>
        <w:pStyle w:val="Tijeloteksta"/>
        <w:ind w:left="1800" w:right="1259"/>
        <w:jc w:val="both"/>
      </w:pPr>
      <w:r w:rsidRPr="004405A9">
        <w:rPr>
          <w:b/>
        </w:rPr>
        <w:t>Prihodi od imovine (</w:t>
      </w:r>
      <w:r w:rsidR="0056040F" w:rsidRPr="004405A9">
        <w:rPr>
          <w:b/>
        </w:rPr>
        <w:t>red. br. 15</w:t>
      </w:r>
      <w:r w:rsidRPr="004405A9">
        <w:rPr>
          <w:b/>
        </w:rPr>
        <w:t>) u ovom izvještajnom razdoblju iznose 0,00 eura</w:t>
      </w:r>
      <w:r>
        <w:t>, do su u istom izvještajnom</w:t>
      </w:r>
      <w:r w:rsidR="0056040F">
        <w:t xml:space="preserve"> razdoblju prošle godine iznosi</w:t>
      </w:r>
      <w:r>
        <w:t>l</w:t>
      </w:r>
      <w:r w:rsidR="0056040F">
        <w:t>i</w:t>
      </w:r>
      <w:r>
        <w:t xml:space="preserve"> 125,33 eura i odnosili se na prihod od financijske imovine, a uključuje prihode od zateznih kamata po rješenjima o ovrsi. </w:t>
      </w:r>
    </w:p>
    <w:p w14:paraId="733F8583" w14:textId="77777777" w:rsidR="00ED2F77" w:rsidRDefault="00ED2F77" w:rsidP="00ED2F77">
      <w:pPr>
        <w:pStyle w:val="Tijeloteksta"/>
        <w:ind w:left="1800" w:right="1259"/>
        <w:jc w:val="both"/>
      </w:pPr>
    </w:p>
    <w:p w14:paraId="66F1D74B" w14:textId="086E373F" w:rsidR="00ED2F77" w:rsidRDefault="00ED2F77" w:rsidP="00ED2F77">
      <w:pPr>
        <w:pStyle w:val="Tijeloteksta"/>
        <w:ind w:left="1800" w:right="1259"/>
        <w:jc w:val="both"/>
      </w:pPr>
      <w:r w:rsidRPr="0056040F">
        <w:rPr>
          <w:b/>
        </w:rPr>
        <w:t>Prihodi od upravnih i administrativnih pristojbi, pristojbi po posebnim propisima i naknadama (</w:t>
      </w:r>
      <w:r w:rsidR="0056040F">
        <w:rPr>
          <w:b/>
        </w:rPr>
        <w:t>red. br. 19</w:t>
      </w:r>
      <w:r w:rsidRPr="0056040F">
        <w:rPr>
          <w:b/>
        </w:rPr>
        <w:t>)</w:t>
      </w:r>
      <w:r>
        <w:t xml:space="preserve"> </w:t>
      </w:r>
      <w:r w:rsidRPr="004405A9">
        <w:rPr>
          <w:b/>
        </w:rPr>
        <w:t>iznose 199.536,06 eura</w:t>
      </w:r>
      <w:r>
        <w:t xml:space="preserve"> i veći su za 19,2% u odnosu na 2024. god. </w:t>
      </w:r>
    </w:p>
    <w:p w14:paraId="66DD36E1" w14:textId="75C07E00" w:rsidR="00ED2F77" w:rsidRDefault="00ED2F77" w:rsidP="00ED2F77">
      <w:pPr>
        <w:pStyle w:val="Tijeloteksta"/>
        <w:ind w:left="1800" w:right="1259"/>
        <w:jc w:val="both"/>
      </w:pPr>
      <w:r>
        <w:t>Odnose se</w:t>
      </w:r>
      <w:r w:rsidR="0056040F">
        <w:t xml:space="preserve"> na ostale nespomenute prihode</w:t>
      </w:r>
      <w:r>
        <w:t xml:space="preserve"> koji uključuju prihode od pružanja usluga participacija, dopunskog zdravstvenog osiguranja, prihoda s naslova osiguranja, refundacije štete i totalne štete, prihoda od refundacije i ostalih prihoda za po posebnim propisima. </w:t>
      </w:r>
    </w:p>
    <w:p w14:paraId="4F8F3F63" w14:textId="77777777" w:rsidR="00ED2F77" w:rsidRDefault="00ED2F77" w:rsidP="00ED2F77">
      <w:pPr>
        <w:pStyle w:val="Tijeloteksta"/>
        <w:ind w:left="1800" w:right="1259"/>
        <w:jc w:val="both"/>
      </w:pPr>
    </w:p>
    <w:p w14:paraId="457F9726" w14:textId="5912DFAE" w:rsidR="00ED2F77" w:rsidRDefault="00ED2F77" w:rsidP="00ED2F77">
      <w:pPr>
        <w:pStyle w:val="Tijeloteksta"/>
        <w:ind w:left="1800" w:right="1259"/>
        <w:jc w:val="both"/>
      </w:pPr>
      <w:r w:rsidRPr="00BA4F4E">
        <w:rPr>
          <w:b/>
        </w:rPr>
        <w:t>Prihodi od prodaje proizvoda i roba te pruženih usluga i prihodi od donacija (</w:t>
      </w:r>
      <w:r w:rsidR="00BA4F4E">
        <w:rPr>
          <w:b/>
        </w:rPr>
        <w:t>red. br. 22</w:t>
      </w:r>
      <w:r w:rsidRPr="00BA4F4E">
        <w:rPr>
          <w:b/>
        </w:rPr>
        <w:t>)</w:t>
      </w:r>
      <w:r>
        <w:t xml:space="preserve"> </w:t>
      </w:r>
      <w:r w:rsidRPr="004405A9">
        <w:rPr>
          <w:b/>
        </w:rPr>
        <w:t>iznose 1.137.611,00 eura</w:t>
      </w:r>
      <w:r>
        <w:t xml:space="preserve"> i manji su za 5,9% u odnosu na iste u prošlogodišnjem izvještajnom razdoblju, i najveće odstupanje u odnosu na prošlu godinu se odnosi na ostvarene</w:t>
      </w:r>
      <w:r w:rsidR="00BA4F4E">
        <w:t xml:space="preserve"> prihode za higijenski minimum </w:t>
      </w:r>
      <w:r>
        <w:t>koji su za oko 50% manji u odnosu na iste u prošlom izvještajnom razdoblju.</w:t>
      </w:r>
    </w:p>
    <w:p w14:paraId="4AD67302" w14:textId="020280B1" w:rsidR="00ED2F77" w:rsidRDefault="00ED2F77" w:rsidP="00ED2F77">
      <w:pPr>
        <w:pStyle w:val="Tijeloteksta"/>
        <w:ind w:left="1800" w:right="1259"/>
        <w:jc w:val="both"/>
      </w:pPr>
      <w:r>
        <w:t xml:space="preserve">Prihodi </w:t>
      </w:r>
      <w:r w:rsidR="00BA4F4E">
        <w:t>pod rednim brojem 22</w:t>
      </w:r>
      <w:r>
        <w:t xml:space="preserve"> -  sastoje se od:</w:t>
      </w:r>
    </w:p>
    <w:p w14:paraId="36012AB8" w14:textId="77777777" w:rsidR="00085F9A" w:rsidRDefault="00085F9A" w:rsidP="00ED2F77">
      <w:pPr>
        <w:pStyle w:val="Tijeloteksta"/>
        <w:ind w:left="1800" w:right="1259"/>
        <w:jc w:val="both"/>
      </w:pPr>
    </w:p>
    <w:p w14:paraId="6C494752" w14:textId="58C9E234" w:rsidR="00ED2F77" w:rsidRDefault="00ED2F77" w:rsidP="00365777">
      <w:pPr>
        <w:pStyle w:val="Tijeloteksta"/>
        <w:numPr>
          <w:ilvl w:val="0"/>
          <w:numId w:val="38"/>
        </w:numPr>
        <w:ind w:right="1259"/>
        <w:jc w:val="both"/>
      </w:pPr>
      <w:r>
        <w:t>661510, Prihodi od pruženih usluga – epidemiologija – sanitarne iskaznice,</w:t>
      </w:r>
      <w:r w:rsidR="00A924F8">
        <w:t xml:space="preserve"> </w:t>
      </w:r>
      <w:r w:rsidR="00B52F69">
        <w:t>ekologija (</w:t>
      </w:r>
      <w:r>
        <w:t>tržište</w:t>
      </w:r>
      <w:r w:rsidR="00B52F69">
        <w:t xml:space="preserve">), </w:t>
      </w:r>
      <w:r>
        <w:t>mikrobiologija  usluge koje nisu obuhvaćene ugovorom s HZZO-om</w:t>
      </w:r>
      <w:r w:rsidR="00A924F8">
        <w:t xml:space="preserve"> -</w:t>
      </w:r>
      <w:r>
        <w:tab/>
        <w:t>1.042.858,30</w:t>
      </w:r>
      <w:r w:rsidR="00B52F69">
        <w:t xml:space="preserve"> eura</w:t>
      </w:r>
    </w:p>
    <w:p w14:paraId="5241F7D8" w14:textId="53F7D834" w:rsidR="00ED2F77" w:rsidRDefault="00ED2F77" w:rsidP="00365777">
      <w:pPr>
        <w:pStyle w:val="Tijeloteksta"/>
        <w:numPr>
          <w:ilvl w:val="0"/>
          <w:numId w:val="38"/>
        </w:numPr>
        <w:ind w:right="1259"/>
        <w:jc w:val="both"/>
      </w:pPr>
      <w:r>
        <w:t xml:space="preserve">661511, Prihodi od pruženih usluga – Cijepljenje </w:t>
      </w:r>
      <w:r w:rsidR="00A924F8">
        <w:t>–</w:t>
      </w:r>
      <w:r>
        <w:t xml:space="preserve"> epidemiologija</w:t>
      </w:r>
      <w:r w:rsidR="00A924F8">
        <w:t xml:space="preserve"> - </w:t>
      </w:r>
      <w:r>
        <w:t>6.749,50</w:t>
      </w:r>
      <w:r w:rsidR="00B52F69">
        <w:t xml:space="preserve"> eura</w:t>
      </w:r>
    </w:p>
    <w:p w14:paraId="47CDF867" w14:textId="662E31A2" w:rsidR="00ED2F77" w:rsidRDefault="00ED2F77" w:rsidP="00365777">
      <w:pPr>
        <w:pStyle w:val="Tijeloteksta"/>
        <w:numPr>
          <w:ilvl w:val="0"/>
          <w:numId w:val="38"/>
        </w:numPr>
        <w:ind w:right="1259"/>
        <w:jc w:val="both"/>
      </w:pPr>
      <w:r>
        <w:t xml:space="preserve">661513, Prihodi od pruženih usluga – higijenski minimum </w:t>
      </w:r>
      <w:r w:rsidR="00A924F8">
        <w:t xml:space="preserve">- </w:t>
      </w:r>
      <w:r>
        <w:t>45.106,29</w:t>
      </w:r>
      <w:r w:rsidR="00B52F69">
        <w:t xml:space="preserve"> eura</w:t>
      </w:r>
    </w:p>
    <w:p w14:paraId="43BF6694" w14:textId="1532FF87" w:rsidR="00ED2F77" w:rsidRDefault="00ED2F77" w:rsidP="00365777">
      <w:pPr>
        <w:pStyle w:val="Tijeloteksta"/>
        <w:numPr>
          <w:ilvl w:val="0"/>
          <w:numId w:val="38"/>
        </w:numPr>
        <w:ind w:right="1259"/>
        <w:jc w:val="both"/>
      </w:pPr>
      <w:r>
        <w:t>661514, Prihodi od pruženih usluga – Nadzor nad provedbom mjera obvezatne dezinfekcije, dezinsekcije i deratizacije po gradovima, općima u Županiji</w:t>
      </w:r>
      <w:r w:rsidR="00A924F8">
        <w:t xml:space="preserve"> -</w:t>
      </w:r>
      <w:r>
        <w:t>13.626,22</w:t>
      </w:r>
      <w:r w:rsidR="00B52F69">
        <w:t xml:space="preserve"> eura</w:t>
      </w:r>
    </w:p>
    <w:p w14:paraId="20CF0978" w14:textId="60819231" w:rsidR="00ED2F77" w:rsidRDefault="00ED2F77" w:rsidP="00365777">
      <w:pPr>
        <w:pStyle w:val="Tijeloteksta"/>
        <w:numPr>
          <w:ilvl w:val="0"/>
          <w:numId w:val="38"/>
        </w:numPr>
        <w:ind w:right="1259"/>
        <w:jc w:val="both"/>
      </w:pPr>
      <w:r>
        <w:t>661515/6, Prihodi od pruženih usluga – utuženi/HM</w:t>
      </w:r>
      <w:r w:rsidR="00A924F8">
        <w:t xml:space="preserve"> -</w:t>
      </w:r>
      <w:r>
        <w:t>70,20</w:t>
      </w:r>
      <w:r w:rsidR="00B52F69">
        <w:t xml:space="preserve"> eura</w:t>
      </w:r>
    </w:p>
    <w:p w14:paraId="5875F049" w14:textId="65D24BD3" w:rsidR="00ED2F77" w:rsidRDefault="00ED2F77" w:rsidP="00365777">
      <w:pPr>
        <w:pStyle w:val="Tijeloteksta"/>
        <w:numPr>
          <w:ilvl w:val="0"/>
          <w:numId w:val="38"/>
        </w:numPr>
        <w:ind w:right="1259"/>
        <w:jc w:val="both"/>
      </w:pPr>
      <w:r>
        <w:t>661518, Prihodi od pruženih usluga –testiranje na SARS-CoV-2</w:t>
      </w:r>
      <w:r w:rsidR="00A924F8">
        <w:t xml:space="preserve"> -7.636,81</w:t>
      </w:r>
      <w:r w:rsidR="00B52F69">
        <w:t xml:space="preserve"> eura</w:t>
      </w:r>
    </w:p>
    <w:p w14:paraId="3F8FFEC8" w14:textId="4FB3B851" w:rsidR="00ED2F77" w:rsidRDefault="00ED2F77" w:rsidP="00365777">
      <w:pPr>
        <w:pStyle w:val="Tijeloteksta"/>
        <w:numPr>
          <w:ilvl w:val="0"/>
          <w:numId w:val="38"/>
        </w:numPr>
        <w:ind w:right="1259"/>
        <w:jc w:val="both"/>
      </w:pPr>
      <w:r>
        <w:t>661519, Prihodi od pruženih usluga – najam – prostor kojim Zavod raspolaže</w:t>
      </w:r>
      <w:r>
        <w:tab/>
      </w:r>
      <w:r w:rsidR="00A924F8">
        <w:t xml:space="preserve"> -</w:t>
      </w:r>
      <w:r>
        <w:t>21.063,68</w:t>
      </w:r>
      <w:r w:rsidR="00B52F69">
        <w:t xml:space="preserve"> eura</w:t>
      </w:r>
    </w:p>
    <w:p w14:paraId="122E0577" w14:textId="3CB2CD06" w:rsidR="00ED2F77" w:rsidRDefault="00ED2F77" w:rsidP="00365777">
      <w:pPr>
        <w:pStyle w:val="Tijeloteksta"/>
        <w:numPr>
          <w:ilvl w:val="0"/>
          <w:numId w:val="38"/>
        </w:numPr>
        <w:ind w:right="1259"/>
        <w:jc w:val="both"/>
      </w:pPr>
      <w:r>
        <w:t>663130, Tekuće donacije od trgovačkih društava</w:t>
      </w:r>
      <w:r>
        <w:tab/>
      </w:r>
      <w:r w:rsidR="00A924F8">
        <w:t xml:space="preserve"> - </w:t>
      </w:r>
      <w:r>
        <w:t>500,00</w:t>
      </w:r>
      <w:r w:rsidR="00B52F69">
        <w:t xml:space="preserve"> eura</w:t>
      </w:r>
    </w:p>
    <w:p w14:paraId="0A9472A9" w14:textId="77777777" w:rsidR="00ED2F77" w:rsidRDefault="00ED2F77" w:rsidP="00ED2F77">
      <w:pPr>
        <w:pStyle w:val="Tijeloteksta"/>
        <w:ind w:left="1800" w:right="1259"/>
        <w:jc w:val="both"/>
      </w:pPr>
    </w:p>
    <w:p w14:paraId="279BB7CF" w14:textId="5A449175" w:rsidR="00ED2F77" w:rsidRDefault="00ED2F77" w:rsidP="00ED2F77">
      <w:pPr>
        <w:pStyle w:val="Tijeloteksta"/>
        <w:ind w:left="1800" w:right="1259"/>
        <w:jc w:val="both"/>
      </w:pPr>
      <w:r w:rsidRPr="003E770A">
        <w:rPr>
          <w:b/>
        </w:rPr>
        <w:t>Prihodi iz nadležnog proračuna i od HZZO-a na temelju ugovornih obveza (</w:t>
      </w:r>
      <w:r w:rsidR="003E770A">
        <w:rPr>
          <w:b/>
        </w:rPr>
        <w:t>red. br. 28</w:t>
      </w:r>
      <w:r w:rsidRPr="003E770A">
        <w:rPr>
          <w:b/>
        </w:rPr>
        <w:t xml:space="preserve">) </w:t>
      </w:r>
      <w:r w:rsidRPr="004405A9">
        <w:rPr>
          <w:b/>
        </w:rPr>
        <w:t>iznose 2.848.411,67 eura</w:t>
      </w:r>
      <w:r>
        <w:t xml:space="preserve"> i veći su za 71,6% u odnosu na prošlogodišnje u istom izvještajnom razdoblju. </w:t>
      </w:r>
    </w:p>
    <w:p w14:paraId="1BE74416" w14:textId="1F824797" w:rsidR="00ED2F77" w:rsidRDefault="00ED2F77" w:rsidP="00ED2F77">
      <w:pPr>
        <w:pStyle w:val="Tijeloteksta"/>
        <w:ind w:left="1800" w:right="1259"/>
        <w:jc w:val="both"/>
      </w:pPr>
      <w:r>
        <w:t>Prihodi iz nadležnog proračuna za financiranje redovne djelatnosti proračunskih korisnika (</w:t>
      </w:r>
      <w:r w:rsidR="003E770A">
        <w:t>red. br. 29</w:t>
      </w:r>
      <w:r>
        <w:t>) iznose 681.654,45 eura dok su u istom razdoblju prošle godine iznosili samo 6.868,41 eura i odnosili su se na uplatu za prvi kvartal provođenja Ugovora za provedbu programa MAMMA – „Programa ranog otkrivanja raka dojke“. U ovom izvještajnom razdoblju najveći dio navedenog iznosa se odnosi na prihode ostvarene iz aktivnost A2512-09 - Zdravstvo iznad standarda, a koja je u proračun uvedena u drugoj polovici 2024. godine od strane Zadarske županije, i odnosi se na redovne prihode ostvarene temeljem ugovora za provedbu programa MAMMA – „Programa ranog otkrivanja raka dojke za  provođenje nacionalnog programa sustavnog praćenja invazivnih vrsta komaraca na području Zadarske županije, te za plaće dijela djelatnika Zavoda koji nisu ugovoreni u timove s HZZO-om ,.</w:t>
      </w:r>
    </w:p>
    <w:p w14:paraId="122BC933" w14:textId="00BB019F" w:rsidR="00ED2F77" w:rsidRDefault="00ED2F77" w:rsidP="00ED2F77">
      <w:pPr>
        <w:pStyle w:val="Tijeloteksta"/>
        <w:ind w:left="1800" w:right="1259"/>
        <w:jc w:val="both"/>
      </w:pPr>
      <w:r>
        <w:t>Prihodi od HZZO-a na temelju ugovornih obveza (</w:t>
      </w:r>
      <w:r w:rsidR="00834A7C">
        <w:t>red. br. 32</w:t>
      </w:r>
      <w:r>
        <w:t>) iznose 2.166.757,22 eura i veći su za 31,1% u odnosu na prošlogodišnje. Na povećanje je utjecalo povećanje ugovorenih iznosa s HZZO-om za ugovorene timove.</w:t>
      </w:r>
    </w:p>
    <w:p w14:paraId="34D26EC3" w14:textId="77777777" w:rsidR="00ED2F77" w:rsidRDefault="00ED2F77" w:rsidP="00ED2F77">
      <w:pPr>
        <w:pStyle w:val="Tijeloteksta"/>
        <w:ind w:left="1800" w:right="1259"/>
        <w:jc w:val="both"/>
      </w:pPr>
    </w:p>
    <w:p w14:paraId="07F00263" w14:textId="7770B8FB" w:rsidR="00ED2F77" w:rsidRDefault="00ED2F77" w:rsidP="00ED2F77">
      <w:pPr>
        <w:pStyle w:val="Tijeloteksta"/>
        <w:ind w:left="1800" w:right="1259"/>
        <w:jc w:val="both"/>
      </w:pPr>
      <w:r w:rsidRPr="00834A7C">
        <w:rPr>
          <w:b/>
        </w:rPr>
        <w:t>Kazne, u</w:t>
      </w:r>
      <w:r w:rsidR="00834A7C">
        <w:rPr>
          <w:b/>
        </w:rPr>
        <w:t>pravne mjere i ostali prihodi (red. br. 34</w:t>
      </w:r>
      <w:r w:rsidRPr="00834A7C">
        <w:rPr>
          <w:b/>
        </w:rPr>
        <w:t>)</w:t>
      </w:r>
      <w:r>
        <w:t xml:space="preserve"> </w:t>
      </w:r>
      <w:r w:rsidRPr="004405A9">
        <w:rPr>
          <w:b/>
        </w:rPr>
        <w:t>iznose 4.418,37 eura</w:t>
      </w:r>
      <w:r>
        <w:t xml:space="preserve"> i veće su u odnosu na isto razdoblje prošle godine za 217%. Povećanje se odnosi na uplatu troška rada naših djelatnika u Specijalnoj bolnici za ortopediju Biograd na Moru.</w:t>
      </w:r>
    </w:p>
    <w:p w14:paraId="786B14AC" w14:textId="77777777" w:rsidR="00ED2F77" w:rsidRDefault="00ED2F77" w:rsidP="00ED2F77">
      <w:pPr>
        <w:pStyle w:val="Tijeloteksta"/>
        <w:ind w:left="1800" w:right="1259"/>
        <w:jc w:val="both"/>
      </w:pPr>
    </w:p>
    <w:p w14:paraId="4FA9D1F3" w14:textId="77777777" w:rsidR="00ED2F77" w:rsidRPr="006D3444" w:rsidRDefault="00ED2F77" w:rsidP="00ED2F77">
      <w:pPr>
        <w:pStyle w:val="Tijeloteksta"/>
        <w:ind w:left="1800" w:right="1259"/>
        <w:jc w:val="both"/>
        <w:rPr>
          <w:b/>
        </w:rPr>
      </w:pPr>
      <w:r w:rsidRPr="006D3444">
        <w:rPr>
          <w:b/>
        </w:rPr>
        <w:lastRenderedPageBreak/>
        <w:t>Iz svega navedenog, može se zaključiti da je na povećanje prihoda u 2025. godini u odnosu na 2024. godinu u izvještajnom razdoblju I. – VI. 2025.godine najvećim dijelom utjecao nastanak prihoda temeljem knjigovodstvenog evidentiranja zaprimljenih cjepiva za daljnju distribuciju u iznosu od 773.016,26 eura, te uplata dodatnih sredstava kao razlika sredstava između ugovorenog iznosa sredstava i ispostavljenih računa u iznosu od 368.679,43 eura, te povećanje ugovorenog iznosa s HZZO-om za ugovorene timove.</w:t>
      </w:r>
    </w:p>
    <w:p w14:paraId="40E83443" w14:textId="77777777" w:rsidR="00ED2F77" w:rsidRDefault="00ED2F77" w:rsidP="00ED2F77">
      <w:pPr>
        <w:pStyle w:val="Tijeloteksta"/>
        <w:ind w:left="1800" w:right="1259"/>
        <w:jc w:val="both"/>
      </w:pPr>
    </w:p>
    <w:p w14:paraId="0B55A2D7" w14:textId="1E4F993F" w:rsidR="00ED2F77" w:rsidRPr="006D3444" w:rsidRDefault="00ED2F77" w:rsidP="00ED2F77">
      <w:pPr>
        <w:pStyle w:val="Tijeloteksta"/>
        <w:ind w:left="1800" w:right="1259"/>
        <w:jc w:val="both"/>
        <w:rPr>
          <w:b/>
        </w:rPr>
      </w:pPr>
      <w:r w:rsidRPr="006D3444">
        <w:rPr>
          <w:b/>
        </w:rPr>
        <w:t>2.) RASHODI POSLOVANJA (</w:t>
      </w:r>
      <w:r w:rsidR="006D3444">
        <w:rPr>
          <w:b/>
        </w:rPr>
        <w:t>red. br. 3</w:t>
      </w:r>
      <w:r w:rsidRPr="006D3444">
        <w:rPr>
          <w:b/>
        </w:rPr>
        <w:t>) iznose 4.328.252,99 eura i veći su za 23% od rashoda poslovanja ostvarenih u istom izvještajnom razdoblju 2024. godine.</w:t>
      </w:r>
    </w:p>
    <w:p w14:paraId="22CACFB1" w14:textId="09C78489" w:rsidR="00ED2F77" w:rsidRDefault="00ED2F77" w:rsidP="00ED2F77">
      <w:pPr>
        <w:pStyle w:val="Tijeloteksta"/>
        <w:ind w:left="1800" w:right="1259"/>
        <w:jc w:val="both"/>
      </w:pPr>
      <w:r w:rsidRPr="00383D4B">
        <w:t>Rashodi za zaposlene (</w:t>
      </w:r>
      <w:r w:rsidR="006D3444" w:rsidRPr="00383D4B">
        <w:t>red. br. 38</w:t>
      </w:r>
      <w:r w:rsidRPr="00383D4B">
        <w:t>)</w:t>
      </w:r>
      <w:r>
        <w:t xml:space="preserve"> iznose 2.650.400,09 eura i veći su za 9,2%, a čine ih:</w:t>
      </w:r>
    </w:p>
    <w:p w14:paraId="598E6FEC" w14:textId="77777777" w:rsidR="00ED2F77" w:rsidRDefault="00ED2F77" w:rsidP="00ED2F77">
      <w:pPr>
        <w:pStyle w:val="Tijeloteksta"/>
        <w:ind w:left="1800" w:right="1259"/>
        <w:jc w:val="both"/>
      </w:pPr>
      <w:r>
        <w:t>•</w:t>
      </w:r>
      <w:r>
        <w:tab/>
        <w:t>plaće za redovan rad u iznosu od 2.142.318,17 eura, plaće za prekovremeni rad u iznosu od 75.681,46 eura, plaće za posebne uvjete rada u iznosu od 3.523,61 eura</w:t>
      </w:r>
    </w:p>
    <w:p w14:paraId="48689A88" w14:textId="77777777" w:rsidR="00ED2F77" w:rsidRDefault="00ED2F77" w:rsidP="00ED2F77">
      <w:pPr>
        <w:pStyle w:val="Tijeloteksta"/>
        <w:ind w:left="1800" w:right="1259"/>
        <w:jc w:val="both"/>
      </w:pPr>
      <w:r>
        <w:t>•</w:t>
      </w:r>
      <w:r>
        <w:tab/>
        <w:t xml:space="preserve">ostali rashodi za zaposlene (jubilarne nagrade, regres, pomoć za bolovanje preko 90 dana i smrtni slučaj) u iznosu od 70.727,85 eura i </w:t>
      </w:r>
    </w:p>
    <w:p w14:paraId="6FFD3F86" w14:textId="77777777" w:rsidR="00ED2F77" w:rsidRDefault="00ED2F77" w:rsidP="00ED2F77">
      <w:pPr>
        <w:pStyle w:val="Tijeloteksta"/>
        <w:ind w:left="1800" w:right="1259"/>
        <w:jc w:val="both"/>
      </w:pPr>
      <w:r>
        <w:t>•</w:t>
      </w:r>
      <w:r>
        <w:tab/>
        <w:t xml:space="preserve">doprinosi na plaće u iznosu od 358.149,00 eura. </w:t>
      </w:r>
    </w:p>
    <w:p w14:paraId="617AFC00" w14:textId="77777777" w:rsidR="00ED2F77" w:rsidRDefault="00ED2F77" w:rsidP="00ED2F77">
      <w:pPr>
        <w:pStyle w:val="Tijeloteksta"/>
        <w:ind w:left="1800" w:right="1259"/>
        <w:jc w:val="both"/>
      </w:pPr>
      <w:r>
        <w:t>Na povećanje rashoda za zaposlene je utjecao minuli rad za svakog djelatnika, te povećanje za svakog djelatnika što se tiče godina staža iz godine u godinu, kao i povećanje pojedinačne plaće temeljem Uredbe o nazivima radnih mjesta, uvjetima za raspored i koeficijentima za obračun u javnim službama („Nar. nov.“ br. 22/2024), a koja je nastupila 01. ožujka 2024.g</w:t>
      </w:r>
    </w:p>
    <w:p w14:paraId="462283CF" w14:textId="77777777" w:rsidR="00ED2F77" w:rsidRDefault="00ED2F77" w:rsidP="00ED2F77">
      <w:pPr>
        <w:pStyle w:val="Tijeloteksta"/>
        <w:ind w:left="1800" w:right="1259"/>
        <w:jc w:val="both"/>
      </w:pPr>
    </w:p>
    <w:p w14:paraId="3527870C" w14:textId="63584B70" w:rsidR="00ED2F77" w:rsidRDefault="00ED2F77" w:rsidP="00ED2F77">
      <w:pPr>
        <w:pStyle w:val="Tijeloteksta"/>
        <w:ind w:left="1800" w:right="1259"/>
        <w:jc w:val="both"/>
      </w:pPr>
      <w:r w:rsidRPr="00383D4B">
        <w:rPr>
          <w:u w:val="single"/>
        </w:rPr>
        <w:t>Materijalni rashodi (</w:t>
      </w:r>
      <w:r w:rsidR="00383D4B">
        <w:rPr>
          <w:u w:val="single"/>
        </w:rPr>
        <w:t>red. br. 47</w:t>
      </w:r>
      <w:r w:rsidRPr="00383D4B">
        <w:rPr>
          <w:u w:val="single"/>
        </w:rPr>
        <w:t>)</w:t>
      </w:r>
      <w:r>
        <w:t xml:space="preserve"> iznose 1.509.689,44eura i veći su za 38,4% u odnosu na prošlogodišnje u istom izvještajnom razdoblju, a uključuju: </w:t>
      </w:r>
    </w:p>
    <w:p w14:paraId="4874B1F3" w14:textId="3C575421" w:rsidR="00ED2F77" w:rsidRDefault="00ED2F77" w:rsidP="00ED2F77">
      <w:pPr>
        <w:pStyle w:val="Tijeloteksta"/>
        <w:ind w:left="1800" w:right="1259"/>
        <w:jc w:val="both"/>
      </w:pPr>
      <w:r>
        <w:t>•</w:t>
      </w:r>
      <w:r>
        <w:tab/>
        <w:t xml:space="preserve">naknade troškova zaposlenima </w:t>
      </w:r>
      <w:r w:rsidR="00383D4B">
        <w:t>red. br. 48</w:t>
      </w:r>
      <w:r>
        <w:t xml:space="preserve">) iznose 67.382,51 eura i veće su za 25,2% u odnosu na prošlogodišnje, a čine ih: </w:t>
      </w:r>
    </w:p>
    <w:p w14:paraId="3FDB81E8" w14:textId="3800B7F9" w:rsidR="00ED2F77" w:rsidRDefault="00ED2F77" w:rsidP="00ED2F77">
      <w:pPr>
        <w:pStyle w:val="Tijeloteksta"/>
        <w:ind w:left="1800" w:right="1259"/>
        <w:jc w:val="both"/>
      </w:pPr>
      <w:r>
        <w:t>- rashodi za službena putovanja (</w:t>
      </w:r>
      <w:r w:rsidR="00383D4B">
        <w:t>red. br. 49</w:t>
      </w:r>
      <w:r>
        <w:t>) iznose 8.911,37 eura i manji su za 12,1 %,</w:t>
      </w:r>
    </w:p>
    <w:p w14:paraId="631377D2" w14:textId="0D05A97F" w:rsidR="00ED2F77" w:rsidRDefault="00ED2F77" w:rsidP="00ED2F77">
      <w:pPr>
        <w:pStyle w:val="Tijeloteksta"/>
        <w:ind w:left="1800" w:right="1259"/>
        <w:jc w:val="both"/>
      </w:pPr>
      <w:r>
        <w:t>- naknade za prijevoz, za rad na terenu i odvojeni život (</w:t>
      </w:r>
      <w:r w:rsidR="00383D4B">
        <w:t>red. br. 50</w:t>
      </w:r>
      <w:r>
        <w:t xml:space="preserve">) iznose 46.665,99 eura i veće su za 21,4%, </w:t>
      </w:r>
    </w:p>
    <w:p w14:paraId="7CE8AB9F" w14:textId="3C7D5270" w:rsidR="00ED2F77" w:rsidRDefault="00ED2F77" w:rsidP="00ED2F77">
      <w:pPr>
        <w:pStyle w:val="Tijeloteksta"/>
        <w:ind w:left="1800" w:right="1259"/>
        <w:jc w:val="both"/>
      </w:pPr>
      <w:r>
        <w:t>- stručno usavršavanje zaposlenika (</w:t>
      </w:r>
      <w:r w:rsidR="001E5230">
        <w:t>red. br. 51</w:t>
      </w:r>
      <w:r>
        <w:t>) iznose 11.805,15 eura i veći su za 124,7% u odnosu na 2024. god., budući je u 1. kvartalu 2025.g. održan tečaj neposredne reanimacije po naputku Evropskog vijeća za reanimaciju kojim zaposlenici u Zavodu koji cijepe trebaju biti osposobljeni i certificirani za BLS AVD postupke (tečaj neposredne reanimacije), zatim troškovi usavršavanja u sklopu projekta AllerShield, Stručnog osposobljavanja doktora medicine, programa Mreža zdravlja, a sve u skladu s potrebama postojećih projekata i Zavoda,</w:t>
      </w:r>
    </w:p>
    <w:p w14:paraId="050CE807" w14:textId="316E4538" w:rsidR="00ED2F77" w:rsidRDefault="00ED2F77" w:rsidP="00ED2F77">
      <w:pPr>
        <w:pStyle w:val="Tijeloteksta"/>
        <w:ind w:left="1800" w:right="1259"/>
        <w:jc w:val="both"/>
      </w:pPr>
      <w:r>
        <w:t>•</w:t>
      </w:r>
      <w:r>
        <w:tab/>
        <w:t>rashodi za materijal i energiju (</w:t>
      </w:r>
      <w:r w:rsidR="001E5230">
        <w:t>red. br. 52</w:t>
      </w:r>
      <w:r>
        <w:t>) iznose 99.227,19 eura i manji su za 86% u odnosu na iste u 2024. god., ali samo zbog načina knjiženja temeljem novog Pravilnikom o proračunskom računovodstvu i Računskom planu (NN 158/23) i Uputa o primjeni novog Pravilnika o proračunskom računovodstvu i Računskom planu, KLASA: 011-01/23-01/23, URBROJ: 513-05-03-24-3, od 6. rujna 2024. godine, kojima se od 01. siječnja 2025. godine mijenja računski plan od razreda 0 do razreda 9, te se nastali rashodi na kontu za Laboratorijski materijal 3222 od 01. siječnja knjiže na 3251. Zbog navedenih izmjena je iznos na kontu 322 u odnosu na 2024.g. manji, dok je iznos za laboratorijski materijal u 2025.g knjižen prema uputama na konto 3251 – koji u ovom izvještajnom razdoblju iznosi 886.650,14 eura, dok u istom razdoblju 2024.g. iznosi 0,00 eura budući je način knjiženja bio drugačiji. Radi se samo o prebacivanju iznosa s jednog konta na drugi temeljem danih uputa.</w:t>
      </w:r>
    </w:p>
    <w:p w14:paraId="5B2E125C" w14:textId="0CEFDBAD" w:rsidR="00ED2F77" w:rsidRDefault="00ED2F77" w:rsidP="00ED2F77">
      <w:pPr>
        <w:pStyle w:val="Tijeloteksta"/>
        <w:ind w:left="1800" w:right="1259"/>
        <w:jc w:val="both"/>
      </w:pPr>
      <w:r>
        <w:t>- uredski materijal i ostali materijalni rashodi (</w:t>
      </w:r>
      <w:r w:rsidR="001E5230">
        <w:t>red. br. 53</w:t>
      </w:r>
      <w:r>
        <w:t>) ) iznose 30.966,57 eura i na prošlogodišnjoj su razini</w:t>
      </w:r>
    </w:p>
    <w:p w14:paraId="118327A5" w14:textId="019C2FB3" w:rsidR="00ED2F77" w:rsidRDefault="00ED2F77" w:rsidP="00ED2F77">
      <w:pPr>
        <w:pStyle w:val="Tijeloteksta"/>
        <w:ind w:left="1800" w:right="1259"/>
        <w:jc w:val="both"/>
      </w:pPr>
      <w:r>
        <w:t>•</w:t>
      </w:r>
      <w:r>
        <w:tab/>
        <w:t>rashodi za usluge (</w:t>
      </w:r>
      <w:r w:rsidR="000663BD">
        <w:t>red. br. 58</w:t>
      </w:r>
      <w:r>
        <w:t>) iznose 377.456,74 eura i veći su za 22,1% u odnosu na 2024. god.:</w:t>
      </w:r>
    </w:p>
    <w:p w14:paraId="6F949EB5" w14:textId="771656F0" w:rsidR="00ED2F77" w:rsidRDefault="00ED2F77" w:rsidP="00ED2F77">
      <w:pPr>
        <w:pStyle w:val="Tijeloteksta"/>
        <w:ind w:left="1800" w:right="1259"/>
        <w:jc w:val="both"/>
      </w:pPr>
      <w:r>
        <w:t>- usluge telefona, pošte i prijevoza (</w:t>
      </w:r>
      <w:r w:rsidR="000663BD">
        <w:t>red. br. 59</w:t>
      </w:r>
      <w:r>
        <w:t>) iznose 29.167,77 eura i na prošlogodišnjoj su razini</w:t>
      </w:r>
    </w:p>
    <w:p w14:paraId="339987AE" w14:textId="515AC141" w:rsidR="00ED2F77" w:rsidRDefault="00ED2F77" w:rsidP="00ED2F77">
      <w:pPr>
        <w:pStyle w:val="Tijeloteksta"/>
        <w:ind w:left="1800" w:right="1259"/>
        <w:jc w:val="both"/>
      </w:pPr>
      <w:r>
        <w:t>- usluge tekućeg i investicijskog održavanja (</w:t>
      </w:r>
      <w:r w:rsidR="000663BD">
        <w:t>red. br. 60</w:t>
      </w:r>
      <w:r>
        <w:t xml:space="preserve">) iznose 84.367,25 eura i veći su za </w:t>
      </w:r>
      <w:r>
        <w:lastRenderedPageBreak/>
        <w:t xml:space="preserve">19,9%, budući je Zavod u 1. kvartalu imao trošak usluge nadogradnje i stavljanja u funkciju sustava video nadzora u iznosu od 8.494,09 eura, te trošak servisa brodice u vlasništvu Zavoda u iznosu od 3.329,50 eura, te zamjena neispravnih </w:t>
      </w:r>
      <w:proofErr w:type="spellStart"/>
      <w:r>
        <w:t>oduzimnih</w:t>
      </w:r>
      <w:proofErr w:type="spellEnd"/>
      <w:r>
        <w:t xml:space="preserve"> mjesta helija i sintetskog zraka u iznosu od 5.170,00 eura. U ovom izvještajnom razdoblju je Zavod imao veće troškove popravka i održavanja dizala u zgradi Zavoda, naime - utvrđeno je napuknuće nosive čelične užadi za dizalo D6, koje su zamijenjene, te je trošak popravka iznosio 4.850,00 eura,</w:t>
      </w:r>
    </w:p>
    <w:p w14:paraId="23F6F6DA" w14:textId="38537BEA" w:rsidR="00ED2F77" w:rsidRDefault="00ED2F77" w:rsidP="00ED2F77">
      <w:pPr>
        <w:pStyle w:val="Tijeloteksta"/>
        <w:ind w:left="1800" w:right="1259"/>
        <w:jc w:val="both"/>
      </w:pPr>
      <w:r>
        <w:t>- usluge promidžbe i informiranja (</w:t>
      </w:r>
      <w:r w:rsidR="000663BD">
        <w:t>red. br. 61</w:t>
      </w:r>
      <w:r>
        <w:t>) iznose 6.171,95 eura i veći su za 47,6% u odnosu na prošlogodišnje, a na što je utjecao trošak većeg broja objave natječaja za zaposlenje,</w:t>
      </w:r>
    </w:p>
    <w:p w14:paraId="5468DE76" w14:textId="3A3B7987" w:rsidR="00ED2F77" w:rsidRDefault="00ED2F77" w:rsidP="00ED2F77">
      <w:pPr>
        <w:pStyle w:val="Tijeloteksta"/>
        <w:ind w:left="1800" w:right="1259"/>
        <w:jc w:val="both"/>
      </w:pPr>
      <w:r>
        <w:t>- komunalne usluge (</w:t>
      </w:r>
      <w:r w:rsidR="000663BD">
        <w:t>red. br. 62</w:t>
      </w:r>
      <w:r>
        <w:t>) iznose 29.057,81 eura i veće su za 11,7% u odnosu na prošlogodišnje, na što je najvećim dijelom utjecalo povećanje troška usluge u vezi s medicinskim i ostalim otpadom,</w:t>
      </w:r>
    </w:p>
    <w:p w14:paraId="562B49D4" w14:textId="36E87416" w:rsidR="00ED2F77" w:rsidRDefault="00ED2F77" w:rsidP="00ED2F77">
      <w:pPr>
        <w:pStyle w:val="Tijeloteksta"/>
        <w:ind w:left="1800" w:right="1259"/>
        <w:jc w:val="both"/>
      </w:pPr>
      <w:r>
        <w:t>- zakupnine i najamnine (</w:t>
      </w:r>
      <w:r w:rsidR="006A0290">
        <w:t>red. br. 63</w:t>
      </w:r>
      <w:r>
        <w:t>) iznose 24.985,29 eura i na prošlogodišnjoj su razini,</w:t>
      </w:r>
    </w:p>
    <w:p w14:paraId="55BC389C" w14:textId="0BDA60DB" w:rsidR="00ED2F77" w:rsidRDefault="00ED2F77" w:rsidP="00ED2F77">
      <w:pPr>
        <w:pStyle w:val="Tijeloteksta"/>
        <w:ind w:left="1800" w:right="1259"/>
        <w:jc w:val="both"/>
      </w:pPr>
      <w:r>
        <w:t>- zdravstvene i veterinarske usluge (</w:t>
      </w:r>
      <w:r w:rsidR="006A0290">
        <w:t>red. br. 64</w:t>
      </w:r>
      <w:r>
        <w:t>) iznose 65.286,57 eura i veće su za 16,3% zbog više pruženih vanjskih laboratorijskih usluga,</w:t>
      </w:r>
    </w:p>
    <w:p w14:paraId="30D49669" w14:textId="32F5A690" w:rsidR="00ED2F77" w:rsidRDefault="00ED2F77" w:rsidP="00ED2F77">
      <w:pPr>
        <w:pStyle w:val="Tijeloteksta"/>
        <w:ind w:left="1800" w:right="1259"/>
        <w:jc w:val="both"/>
      </w:pPr>
      <w:r>
        <w:t>- intelektualne i osobne usluge (</w:t>
      </w:r>
      <w:r w:rsidR="006A0290">
        <w:t>red. br. 65</w:t>
      </w:r>
      <w:r>
        <w:t>) iznose 52.789,49 eura i veće su za 76,2% u odnosu na 2024. god. - u ovom izvještajnom razdoblju je nastao trošak u iznosu od 500,00 eura za izradu elaborata određivanja visine najma prostorije u Zavodu za javno zdravstvo Zadar na 4. katu, te veći rashodi plaća za ugovorene psihijatre za potrebe Službe za mentalno zdravlje i prevenciju ovisnosti, a sukladno povećanju plaća od 01. ožujka 2024.g., te veći rashodi za pružene usluge ispitivača za polaznike tečaja zdravstvenog odgoja ( tečaj higijenski minimum), zatim trošak mentora za program „Specijalističko usavršavanje doktora medicine“, te isplata honorara vanjskim suradnicima za provođenje postupaka nabava s naglaskom na EU projekte te trošak honorara osobi koja radi obračun plaća djelatnika Zavoda u odsutnosti djelatnice koja je na dužem bolovanju,</w:t>
      </w:r>
    </w:p>
    <w:p w14:paraId="669AF689" w14:textId="61411EA5" w:rsidR="00ED2F77" w:rsidRDefault="00ED2F77" w:rsidP="00ED2F77">
      <w:pPr>
        <w:pStyle w:val="Tijeloteksta"/>
        <w:ind w:left="1800" w:right="1259"/>
        <w:jc w:val="both"/>
      </w:pPr>
      <w:r>
        <w:t>- računalne usluge (</w:t>
      </w:r>
      <w:r w:rsidR="006A0290">
        <w:t>red. br. 66</w:t>
      </w:r>
      <w:r>
        <w:t>) iznose  39.415,01 eura i manje su od prošlogodišnjih za</w:t>
      </w:r>
      <w:r w:rsidR="006A0290">
        <w:t xml:space="preserve"> </w:t>
      </w:r>
      <w:r>
        <w:t xml:space="preserve">2,9 %, </w:t>
      </w:r>
    </w:p>
    <w:p w14:paraId="61F0CF0B" w14:textId="63216D98" w:rsidR="00ED2F77" w:rsidRDefault="00ED2F77" w:rsidP="00ED2F77">
      <w:pPr>
        <w:pStyle w:val="Tijeloteksta"/>
        <w:ind w:left="1800" w:right="1259"/>
        <w:jc w:val="both"/>
      </w:pPr>
      <w:r>
        <w:t>- ostale usluge (</w:t>
      </w:r>
      <w:r w:rsidR="006A0290">
        <w:t>red. br. 67</w:t>
      </w:r>
      <w:r>
        <w:t>) iznose 46.215,60 eura i veći su za 67,1% u odnosu na prošlogodišnje, a na što je najvećim dijelom utjecalo povećanje troškova usluga čišćenja prostorija Zavoda, a sukladno ponudi odabranog najpovoljnije ponuditelja u provedenom postupka javne nabave,</w:t>
      </w:r>
    </w:p>
    <w:p w14:paraId="6E43BAB3" w14:textId="6DA21FB3" w:rsidR="00ED2F77" w:rsidRDefault="00ED2F77" w:rsidP="00ED2F77">
      <w:pPr>
        <w:pStyle w:val="Tijeloteksta"/>
        <w:ind w:left="1800" w:right="1259"/>
        <w:jc w:val="both"/>
      </w:pPr>
      <w:r>
        <w:t>•</w:t>
      </w:r>
      <w:r>
        <w:tab/>
        <w:t>rashodi lijekova i potrošnog medicinskog materijala kod zdravstvenih ustanova (</w:t>
      </w:r>
      <w:r w:rsidR="006A664B">
        <w:t>red. br. 68</w:t>
      </w:r>
      <w:r>
        <w:t>) iznose 947.468,96  eura i nisu postojali u knjigovodstvenoj evidenciji prošle godine u ovom izvještajnom razdoblju iz već navedenog razloga pod točkom: rashodi za materijal i energiju (</w:t>
      </w:r>
      <w:r w:rsidR="006A664B">
        <w:t>red. br. 52</w:t>
      </w:r>
      <w:r>
        <w:t>)</w:t>
      </w:r>
    </w:p>
    <w:p w14:paraId="375E5FD6" w14:textId="2CC0ACB3" w:rsidR="00ED2F77" w:rsidRDefault="00ED2F77" w:rsidP="00ED2F77">
      <w:pPr>
        <w:pStyle w:val="Tijeloteksta"/>
        <w:ind w:left="1800" w:right="1259"/>
        <w:jc w:val="both"/>
      </w:pPr>
      <w:r>
        <w:t>•</w:t>
      </w:r>
      <w:r>
        <w:tab/>
        <w:t>ostali nespomenuti rashodi poslovanja (</w:t>
      </w:r>
      <w:r w:rsidR="006A664B">
        <w:t>red. br. 71</w:t>
      </w:r>
      <w:r>
        <w:t>) iznose 18.154,04eura i manji su za 10,7% u odnosu na prošlogodišnje</w:t>
      </w:r>
    </w:p>
    <w:p w14:paraId="3A8F637E" w14:textId="77777777" w:rsidR="00ED2F77" w:rsidRDefault="00ED2F77" w:rsidP="00ED2F77">
      <w:pPr>
        <w:pStyle w:val="Tijeloteksta"/>
        <w:ind w:left="1800" w:right="1259"/>
        <w:jc w:val="both"/>
      </w:pPr>
    </w:p>
    <w:p w14:paraId="5E8C290B" w14:textId="5A461EAE" w:rsidR="00ED2F77" w:rsidRDefault="00ED2F77" w:rsidP="00ED2F77">
      <w:pPr>
        <w:pStyle w:val="Tijeloteksta"/>
        <w:ind w:left="1800" w:right="1259"/>
        <w:jc w:val="both"/>
      </w:pPr>
      <w:r w:rsidRPr="00E66BBF">
        <w:rPr>
          <w:b/>
        </w:rPr>
        <w:t>Financijski rashodi (</w:t>
      </w:r>
      <w:r w:rsidR="00E66BBF" w:rsidRPr="00E66BBF">
        <w:rPr>
          <w:b/>
        </w:rPr>
        <w:t>red. br. 78</w:t>
      </w:r>
      <w:r w:rsidRPr="00E66BBF">
        <w:rPr>
          <w:b/>
        </w:rPr>
        <w:t>)</w:t>
      </w:r>
      <w:r>
        <w:t xml:space="preserve"> </w:t>
      </w:r>
      <w:r w:rsidRPr="004405A9">
        <w:rPr>
          <w:b/>
        </w:rPr>
        <w:t>iznose 2.470,74 eura</w:t>
      </w:r>
      <w:r>
        <w:t xml:space="preserve"> i veće su za 26,3% u odnosu na prošlogodišnje, a odnose se na bankarske usluge i usluge platnog prometa koje ovise i o broju transakcija, a kojih je u ovom razdoblju bile više u odnosu na isto razdoblje prošle godine, budući je Zavod platio veći broj dospjelih računa dobavljača iz prethodne godine s obzirom na nastalo dugovanje prema dobavljačima, a koje je bilo veće u odnosu na isto razdoblje prošle godine, te veći broj transakcija partnerima na EU projektima.</w:t>
      </w:r>
    </w:p>
    <w:p w14:paraId="420F6E80" w14:textId="77777777" w:rsidR="00ED2F77" w:rsidRDefault="00ED2F77" w:rsidP="00ED2F77">
      <w:pPr>
        <w:pStyle w:val="Tijeloteksta"/>
        <w:ind w:left="1800" w:right="1259"/>
        <w:jc w:val="both"/>
      </w:pPr>
    </w:p>
    <w:p w14:paraId="650F06BB" w14:textId="115EC16F" w:rsidR="00ED2F77" w:rsidRDefault="00ED2F77" w:rsidP="00ED2F77">
      <w:pPr>
        <w:pStyle w:val="Tijeloteksta"/>
        <w:ind w:left="1800" w:right="1259"/>
        <w:jc w:val="both"/>
      </w:pPr>
      <w:r w:rsidRPr="00E66BBF">
        <w:rPr>
          <w:b/>
        </w:rPr>
        <w:t>Pomoći dane u inozemstvo i unutar općeg proračuna (</w:t>
      </w:r>
      <w:r w:rsidR="00E66BBF">
        <w:rPr>
          <w:b/>
        </w:rPr>
        <w:t>red. br.83</w:t>
      </w:r>
      <w:r w:rsidRPr="00E66BBF">
        <w:rPr>
          <w:b/>
        </w:rPr>
        <w:t>)</w:t>
      </w:r>
      <w:r>
        <w:t xml:space="preserve"> u ovom izvještajnom </w:t>
      </w:r>
      <w:r w:rsidRPr="004405A9">
        <w:rPr>
          <w:b/>
        </w:rPr>
        <w:t>razdoblju iznose 147.999,62 eura</w:t>
      </w:r>
      <w:r>
        <w:t>, i nije ih bilo u 2024.g. s obzirom da su sve isplate za EU projekte koji su završili u 2022. godini bile u 2023.g. Navedeni iznos se odnosi na prijenos sredstava EU partnerima na trenutnim projektima, a nakon certificiranih izvještaja te zaprimljene uplate za iste za svakog od partnera, a koje Zavod, budući je vodeći partner na dva EU projekta, mora proslijediti partnerima.</w:t>
      </w:r>
    </w:p>
    <w:p w14:paraId="0C8212CC" w14:textId="77777777" w:rsidR="00ED2F77" w:rsidRDefault="00ED2F77" w:rsidP="00ED2F77">
      <w:pPr>
        <w:pStyle w:val="Tijeloteksta"/>
        <w:ind w:left="1800" w:right="1259"/>
        <w:jc w:val="both"/>
      </w:pPr>
    </w:p>
    <w:p w14:paraId="7517CDEF" w14:textId="60A1A397" w:rsidR="00ED2F77" w:rsidRDefault="00ED2F77" w:rsidP="00ED2F77">
      <w:pPr>
        <w:pStyle w:val="Tijeloteksta"/>
        <w:ind w:left="1800" w:right="1259"/>
        <w:jc w:val="both"/>
      </w:pPr>
      <w:r w:rsidRPr="00E66BBF">
        <w:rPr>
          <w:b/>
        </w:rPr>
        <w:lastRenderedPageBreak/>
        <w:t>Naknade građanima i kućanstvima na temelju osiguranja i druge naknade (</w:t>
      </w:r>
      <w:r w:rsidR="00E66BBF" w:rsidRPr="00E66BBF">
        <w:rPr>
          <w:b/>
        </w:rPr>
        <w:t>red. br. 91</w:t>
      </w:r>
      <w:r w:rsidRPr="00E66BBF">
        <w:rPr>
          <w:b/>
        </w:rPr>
        <w:t>)</w:t>
      </w:r>
      <w:r>
        <w:t xml:space="preserve"> </w:t>
      </w:r>
      <w:r w:rsidRPr="004405A9">
        <w:rPr>
          <w:b/>
        </w:rPr>
        <w:t>iznose 2.699,10 eura</w:t>
      </w:r>
      <w:r>
        <w:t xml:space="preserve">, a navedeni trošak se odnosi na trošak školarine za ravnatelja Benita </w:t>
      </w:r>
      <w:proofErr w:type="spellStart"/>
      <w:r>
        <w:t>Pucara</w:t>
      </w:r>
      <w:proofErr w:type="spellEnd"/>
      <w:r>
        <w:t xml:space="preserve">, </w:t>
      </w:r>
      <w:proofErr w:type="spellStart"/>
      <w:r>
        <w:t>dipl.ing</w:t>
      </w:r>
      <w:proofErr w:type="spellEnd"/>
      <w:r>
        <w:t>.</w:t>
      </w:r>
    </w:p>
    <w:p w14:paraId="2D444203" w14:textId="77777777" w:rsidR="00ED2F77" w:rsidRDefault="00ED2F77" w:rsidP="00ED2F77">
      <w:pPr>
        <w:pStyle w:val="Tijeloteksta"/>
        <w:ind w:left="1800" w:right="1259"/>
        <w:jc w:val="both"/>
      </w:pPr>
    </w:p>
    <w:p w14:paraId="11E49512" w14:textId="314083C6" w:rsidR="00ED2F77" w:rsidRDefault="00ED2F77" w:rsidP="00ED2F77">
      <w:pPr>
        <w:pStyle w:val="Tijeloteksta"/>
        <w:ind w:left="1800" w:right="1259"/>
        <w:jc w:val="both"/>
      </w:pPr>
      <w:r w:rsidRPr="00E66BBF">
        <w:rPr>
          <w:b/>
        </w:rPr>
        <w:t>Ostali rashodi (</w:t>
      </w:r>
      <w:r w:rsidR="00E66BBF" w:rsidRPr="00E66BBF">
        <w:rPr>
          <w:b/>
        </w:rPr>
        <w:t>red. br. 93</w:t>
      </w:r>
      <w:r w:rsidRPr="00E66BBF">
        <w:rPr>
          <w:b/>
        </w:rPr>
        <w:t>)</w:t>
      </w:r>
      <w:r>
        <w:t xml:space="preserve"> </w:t>
      </w:r>
      <w:bookmarkStart w:id="0" w:name="_GoBack"/>
      <w:r w:rsidRPr="002B6CE6">
        <w:rPr>
          <w:b/>
        </w:rPr>
        <w:t>iznose 14.994,00</w:t>
      </w:r>
      <w:r>
        <w:t xml:space="preserve"> </w:t>
      </w:r>
      <w:bookmarkEnd w:id="0"/>
      <w:r>
        <w:t xml:space="preserve">eura i odnose se na isplatu partneru na EU projektu </w:t>
      </w:r>
      <w:proofErr w:type="spellStart"/>
      <w:r>
        <w:t>BeforeTime</w:t>
      </w:r>
      <w:proofErr w:type="spellEnd"/>
      <w:r>
        <w:t>.</w:t>
      </w:r>
    </w:p>
    <w:p w14:paraId="0937A00B" w14:textId="77777777" w:rsidR="00ED2F77" w:rsidRDefault="00ED2F77" w:rsidP="00ED2F77">
      <w:pPr>
        <w:pStyle w:val="Tijeloteksta"/>
        <w:ind w:left="1800" w:right="1259"/>
        <w:jc w:val="both"/>
      </w:pPr>
    </w:p>
    <w:p w14:paraId="40F5AA7F" w14:textId="77777777" w:rsidR="00ED2F77" w:rsidRDefault="00ED2F77" w:rsidP="00ED2F77">
      <w:pPr>
        <w:pStyle w:val="Tijeloteksta"/>
        <w:ind w:left="1800" w:right="1259"/>
        <w:jc w:val="both"/>
      </w:pPr>
    </w:p>
    <w:p w14:paraId="2B9AA267" w14:textId="2935F308" w:rsidR="00ED2F77" w:rsidRPr="00240571" w:rsidRDefault="00ED2F77" w:rsidP="00ED2F77">
      <w:pPr>
        <w:pStyle w:val="Tijeloteksta"/>
        <w:ind w:left="1800" w:right="1259"/>
        <w:jc w:val="both"/>
        <w:rPr>
          <w:b/>
        </w:rPr>
      </w:pPr>
      <w:r w:rsidRPr="00240571">
        <w:rPr>
          <w:b/>
        </w:rPr>
        <w:t xml:space="preserve">3.) PRIHODI OD PRODAJE NEFINANCIJSKE IMOVINE </w:t>
      </w:r>
    </w:p>
    <w:p w14:paraId="66552235" w14:textId="77777777" w:rsidR="00ED2F77" w:rsidRDefault="00ED2F77" w:rsidP="00ED2F77">
      <w:pPr>
        <w:pStyle w:val="Tijeloteksta"/>
        <w:ind w:left="1800" w:right="1259"/>
        <w:jc w:val="both"/>
      </w:pPr>
      <w:r>
        <w:t>Zavod u ovom izvještajnom razdoblju nije imao prihoda od prodaje nefinancijske imovine.</w:t>
      </w:r>
    </w:p>
    <w:p w14:paraId="6B0E2E75" w14:textId="77777777" w:rsidR="00ED2F77" w:rsidRDefault="00ED2F77" w:rsidP="00ED2F77">
      <w:pPr>
        <w:pStyle w:val="Tijeloteksta"/>
        <w:ind w:left="1800" w:right="1259"/>
        <w:jc w:val="both"/>
      </w:pPr>
    </w:p>
    <w:p w14:paraId="529C1920" w14:textId="2B4E6F2C" w:rsidR="00ED2F77" w:rsidRDefault="00ED2F77" w:rsidP="00ED2F77">
      <w:pPr>
        <w:pStyle w:val="Tijeloteksta"/>
        <w:ind w:left="1800" w:right="1259"/>
        <w:jc w:val="both"/>
      </w:pPr>
      <w:r w:rsidRPr="00240571">
        <w:rPr>
          <w:b/>
        </w:rPr>
        <w:t>4.) RASHODI ZA NABAVU NEFINANCIJSKE IMOVINE (</w:t>
      </w:r>
      <w:r w:rsidR="00240571">
        <w:rPr>
          <w:b/>
        </w:rPr>
        <w:t xml:space="preserve">red. </w:t>
      </w:r>
      <w:proofErr w:type="spellStart"/>
      <w:r w:rsidR="00240571">
        <w:rPr>
          <w:b/>
        </w:rPr>
        <w:t>br</w:t>
      </w:r>
      <w:proofErr w:type="spellEnd"/>
      <w:r w:rsidR="00240571">
        <w:rPr>
          <w:b/>
        </w:rPr>
        <w:t xml:space="preserve"> 97</w:t>
      </w:r>
      <w:r w:rsidRPr="00240571">
        <w:rPr>
          <w:b/>
        </w:rPr>
        <w:t xml:space="preserve">) </w:t>
      </w:r>
      <w:r w:rsidRPr="004405A9">
        <w:t>iznose 95.723,02 eura i</w:t>
      </w:r>
      <w:r>
        <w:t xml:space="preserve"> veći su za 505,4 % u odnosu na 2024. godinu i najvećim dijelom se odnose na rashode za medicinsku i laboratorijsku opremu u iznosu od 91.440,32 eura, a od kojeg se iznos od 21.451,50 eura odnosi na nabavku mikroskopa za potrebe EU projekta AllerShield i iznos od 59.872,50 eura za nabavku senzora za kvalitetu zraka za potrebe EU projekta AllerShield.</w:t>
      </w:r>
    </w:p>
    <w:p w14:paraId="6C888990" w14:textId="77777777" w:rsidR="00DB2657" w:rsidRDefault="00DB2657" w:rsidP="00DB2657">
      <w:pPr>
        <w:pStyle w:val="Tijeloteksta"/>
        <w:ind w:left="1800" w:right="1259"/>
        <w:jc w:val="both"/>
      </w:pPr>
    </w:p>
    <w:p w14:paraId="253DA372" w14:textId="5BDA03F1" w:rsidR="00DB2657" w:rsidRDefault="002505FB" w:rsidP="00DB6EB6">
      <w:pPr>
        <w:pStyle w:val="Tijeloteksta"/>
        <w:ind w:left="1800" w:right="1259"/>
        <w:jc w:val="both"/>
      </w:pPr>
      <w:r w:rsidRPr="002505FB">
        <w:t xml:space="preserve">U razdoblju od 01. 01. do 30. 06. 2025. godine </w:t>
      </w:r>
      <w:r w:rsidRPr="009827E4">
        <w:rPr>
          <w:b/>
        </w:rPr>
        <w:t>ukupni prihodi i primici (red. br. 115) iznose 5.269.037,64 eura,</w:t>
      </w:r>
      <w:r w:rsidRPr="002505FB">
        <w:t xml:space="preserve"> </w:t>
      </w:r>
      <w:r w:rsidRPr="009827E4">
        <w:rPr>
          <w:b/>
        </w:rPr>
        <w:t>ukupni rashodi i izdaci iznose 4.423.976,01 eura</w:t>
      </w:r>
      <w:r w:rsidRPr="002505FB">
        <w:t xml:space="preserve"> (</w:t>
      </w:r>
      <w:r>
        <w:t>red. br. 117</w:t>
      </w:r>
      <w:r w:rsidRPr="002505FB">
        <w:t xml:space="preserve">). </w:t>
      </w:r>
      <w:r w:rsidRPr="009827E4">
        <w:rPr>
          <w:b/>
        </w:rPr>
        <w:t>Višak prihoda i primitaka</w:t>
      </w:r>
      <w:r w:rsidRPr="002505FB">
        <w:t xml:space="preserve"> (</w:t>
      </w:r>
      <w:r>
        <w:t>red. br. 118</w:t>
      </w:r>
      <w:r w:rsidRPr="002505FB">
        <w:t xml:space="preserve">) iznosi </w:t>
      </w:r>
      <w:r w:rsidRPr="009827E4">
        <w:rPr>
          <w:b/>
        </w:rPr>
        <w:t>845.061,63 eura</w:t>
      </w:r>
      <w:r w:rsidRPr="002505FB">
        <w:t xml:space="preserve">, </w:t>
      </w:r>
      <w:r w:rsidRPr="009827E4">
        <w:rPr>
          <w:b/>
        </w:rPr>
        <w:t>preneseni manjak</w:t>
      </w:r>
      <w:r w:rsidRPr="002505FB">
        <w:t xml:space="preserve"> prihoda i primitaka iz 2024. god. (</w:t>
      </w:r>
      <w:r>
        <w:t>red. br. 120</w:t>
      </w:r>
      <w:r w:rsidRPr="002505FB">
        <w:t xml:space="preserve">) iznosi </w:t>
      </w:r>
      <w:r w:rsidRPr="009827E4">
        <w:rPr>
          <w:b/>
        </w:rPr>
        <w:t>621.703,13 eura</w:t>
      </w:r>
      <w:r w:rsidRPr="002505FB">
        <w:t xml:space="preserve">, </w:t>
      </w:r>
      <w:r w:rsidRPr="009827E4">
        <w:rPr>
          <w:b/>
        </w:rPr>
        <w:t>što rezultira viškom prihoda i primitaka (red. br. 121) u ovom izvještajnom razdoblju u iznosu od 223.358,50 eura</w:t>
      </w:r>
      <w:r w:rsidRPr="002505FB">
        <w:t>.</w:t>
      </w:r>
    </w:p>
    <w:p w14:paraId="48B406EF" w14:textId="77777777" w:rsidR="00DB2657" w:rsidRDefault="00DB2657" w:rsidP="00DB6EB6">
      <w:pPr>
        <w:pStyle w:val="Tijeloteksta"/>
        <w:ind w:left="1800" w:right="1259"/>
        <w:jc w:val="both"/>
      </w:pPr>
    </w:p>
    <w:p w14:paraId="5180720C" w14:textId="56D731EE" w:rsidR="00A90AD6" w:rsidRPr="00816F7E" w:rsidRDefault="00E3580E" w:rsidP="008406E0">
      <w:pPr>
        <w:pStyle w:val="Tijeloteksta"/>
        <w:ind w:left="1800" w:right="1259"/>
        <w:jc w:val="both"/>
        <w:rPr>
          <w:b/>
          <w:color w:val="000000" w:themeColor="text1"/>
        </w:rPr>
      </w:pPr>
      <w:bookmarkStart w:id="1" w:name="_Hlk147084549"/>
      <w:r w:rsidRPr="00816F7E">
        <w:rPr>
          <w:b/>
          <w:color w:val="000000" w:themeColor="text1"/>
        </w:rPr>
        <w:t>RAČUN PRIHODA I RASHODA PREMA IZVORIMA FINANCIRANJA</w:t>
      </w:r>
    </w:p>
    <w:bookmarkEnd w:id="1"/>
    <w:p w14:paraId="427B757E" w14:textId="0F631D61" w:rsidR="00433422" w:rsidRDefault="00E3580E" w:rsidP="00E3580E">
      <w:pPr>
        <w:pStyle w:val="Tijeloteksta"/>
        <w:ind w:left="1800" w:right="1259"/>
        <w:jc w:val="both"/>
      </w:pPr>
      <w:r w:rsidRPr="00816F7E">
        <w:rPr>
          <w:color w:val="000000" w:themeColor="text1"/>
        </w:rPr>
        <w:t>Od većih odstupanja u odnosu na 202</w:t>
      </w:r>
      <w:r w:rsidR="00945D65">
        <w:rPr>
          <w:color w:val="000000" w:themeColor="text1"/>
        </w:rPr>
        <w:t>4</w:t>
      </w:r>
      <w:r w:rsidR="00296C43" w:rsidRPr="00816F7E">
        <w:rPr>
          <w:color w:val="000000" w:themeColor="text1"/>
        </w:rPr>
        <w:t>. godinu, to su prihodi</w:t>
      </w:r>
      <w:r w:rsidRPr="00816F7E">
        <w:rPr>
          <w:color w:val="000000" w:themeColor="text1"/>
        </w:rPr>
        <w:t xml:space="preserve"> </w:t>
      </w:r>
      <w:r w:rsidR="004E35DA" w:rsidRPr="00816F7E">
        <w:rPr>
          <w:color w:val="000000" w:themeColor="text1"/>
        </w:rPr>
        <w:t xml:space="preserve">iz izvora </w:t>
      </w:r>
      <w:r w:rsidR="00EE47AA">
        <w:rPr>
          <w:color w:val="000000" w:themeColor="text1"/>
        </w:rPr>
        <w:t>1</w:t>
      </w:r>
      <w:r w:rsidR="009E1E36" w:rsidRPr="00816F7E">
        <w:rPr>
          <w:color w:val="000000" w:themeColor="text1"/>
        </w:rPr>
        <w:t xml:space="preserve">1 </w:t>
      </w:r>
      <w:r w:rsidR="00EE47AA">
        <w:rPr>
          <w:color w:val="000000" w:themeColor="text1"/>
        </w:rPr>
        <w:t xml:space="preserve"> - Opći prihodi i primici</w:t>
      </w:r>
      <w:r w:rsidR="009E1E36" w:rsidRPr="00816F7E">
        <w:rPr>
          <w:color w:val="000000" w:themeColor="text1"/>
        </w:rPr>
        <w:t xml:space="preserve"> </w:t>
      </w:r>
      <w:r w:rsidR="006D07E7">
        <w:rPr>
          <w:color w:val="000000" w:themeColor="text1"/>
        </w:rPr>
        <w:t xml:space="preserve">koji se odnose </w:t>
      </w:r>
      <w:r w:rsidR="006D07E7" w:rsidRPr="006D07E7">
        <w:rPr>
          <w:color w:val="000000" w:themeColor="text1"/>
        </w:rPr>
        <w:t>na prihode ostvarene iz aktivnost A2512-09 - Zdravstvo iznad standarda, a koja je u proračun uvedena u drugoj polovici 2024. godine od strane Zadarske županije, i odnosi se na redovne prihode ostvarene temeljem ugovora za provedbu programa MAMMA – „Programa ranog otkrivanja raka dojke za  provođenje nacionalnog programa sustavnog praćenja invazivnih vrsta komaraca na području Zadarske županije, te za plaće dijela djelatnika Zavoda koji nisu ugovoreni u timove s HZZO-om</w:t>
      </w:r>
      <w:r w:rsidR="00395060">
        <w:rPr>
          <w:color w:val="000000" w:themeColor="text1"/>
        </w:rPr>
        <w:t xml:space="preserve">, zatim prihodi iz izvora 41 –Prihodi za posebne namjene </w:t>
      </w:r>
      <w:r w:rsidR="009E1E36" w:rsidRPr="00816F7E">
        <w:rPr>
          <w:color w:val="000000" w:themeColor="text1"/>
        </w:rPr>
        <w:t>koji uključuju prihode od pružanja usluga participacija, dopunskog zdravstvenog osiguranja, prihoda s naslova osiguranja, refundacije štete i totalne štete, prihoda od refundacije i ostalih prihoda za po posebnim propisima</w:t>
      </w:r>
      <w:r w:rsidR="002923AE" w:rsidRPr="00816F7E">
        <w:rPr>
          <w:color w:val="000000" w:themeColor="text1"/>
        </w:rPr>
        <w:t xml:space="preserve">. Zatim </w:t>
      </w:r>
      <w:r w:rsidR="00613B03">
        <w:rPr>
          <w:color w:val="000000" w:themeColor="text1"/>
        </w:rPr>
        <w:t xml:space="preserve">prihodi iz izvora 53 – Pomoći – a koji se odnosi na ostvarene prihode temeljem ugovora s pojedinim gradovima i općinama </w:t>
      </w:r>
      <w:r w:rsidR="00E445DA">
        <w:rPr>
          <w:color w:val="000000" w:themeColor="text1"/>
        </w:rPr>
        <w:t>za</w:t>
      </w:r>
      <w:r w:rsidR="00E445DA" w:rsidRPr="00E445DA">
        <w:rPr>
          <w:color w:val="000000" w:themeColor="text1"/>
        </w:rPr>
        <w:t>o pružanju usluga savjetovališta za mentalno zdravlje i prevenciju ovisnosti</w:t>
      </w:r>
      <w:r w:rsidR="00E445DA">
        <w:rPr>
          <w:color w:val="000000" w:themeColor="text1"/>
        </w:rPr>
        <w:t>, te prihodi iz izvora 54 – Pomoći iz inozemstva koji se odnose na ostvarene prihode za prijavljene troškove u ovom izvještajnom razdoblju za EU projekte</w:t>
      </w:r>
      <w:r w:rsidR="00254955">
        <w:rPr>
          <w:color w:val="000000" w:themeColor="text1"/>
        </w:rPr>
        <w:t>.</w:t>
      </w:r>
    </w:p>
    <w:p w14:paraId="2DF33931" w14:textId="77777777" w:rsidR="007B326D" w:rsidRDefault="007B326D" w:rsidP="00914D61">
      <w:pPr>
        <w:pStyle w:val="Tijeloteksta"/>
        <w:ind w:left="1800" w:right="1259"/>
        <w:jc w:val="both"/>
        <w:rPr>
          <w:b/>
        </w:rPr>
      </w:pPr>
    </w:p>
    <w:p w14:paraId="1B9D530D" w14:textId="1DC3780D" w:rsidR="004E35DA" w:rsidRDefault="004E35DA" w:rsidP="00914D61">
      <w:pPr>
        <w:pStyle w:val="Tijeloteksta"/>
        <w:ind w:left="1800" w:right="1259"/>
        <w:jc w:val="both"/>
      </w:pPr>
      <w:r w:rsidRPr="006C404E">
        <w:rPr>
          <w:b/>
        </w:rPr>
        <w:t>RAČUN PRIHODA I RASHODA</w:t>
      </w:r>
      <w:r w:rsidRPr="004E35DA">
        <w:t xml:space="preserve"> </w:t>
      </w:r>
      <w:r>
        <w:t>– rashodi prema funkcijskoj klas</w:t>
      </w:r>
      <w:r w:rsidR="009E29C1">
        <w:t>i</w:t>
      </w:r>
      <w:r>
        <w:t>fikaciji</w:t>
      </w:r>
    </w:p>
    <w:p w14:paraId="2FDC5E93" w14:textId="4F4AA455" w:rsidR="006C404E" w:rsidRDefault="004E35DA" w:rsidP="004E35DA">
      <w:pPr>
        <w:pStyle w:val="Tijeloteksta"/>
        <w:ind w:left="1800" w:right="1259"/>
      </w:pPr>
      <w:r>
        <w:t>Naved</w:t>
      </w:r>
      <w:r w:rsidR="00317ABD">
        <w:t xml:space="preserve">eni su planirani iznosi rashoda za </w:t>
      </w:r>
      <w:r w:rsidR="006E5F8D">
        <w:t>202</w:t>
      </w:r>
      <w:r w:rsidR="00650952">
        <w:t>5</w:t>
      </w:r>
      <w:r w:rsidR="006E5F8D">
        <w:t>. godinu te izvršenje za ovo izvještajno razdoblje</w:t>
      </w:r>
      <w:r w:rsidR="00317ABD">
        <w:t>.</w:t>
      </w:r>
      <w:r>
        <w:t xml:space="preserve"> </w:t>
      </w:r>
    </w:p>
    <w:p w14:paraId="3037454B" w14:textId="77777777" w:rsidR="00072641" w:rsidRDefault="00072641" w:rsidP="00072641">
      <w:pPr>
        <w:pStyle w:val="Tijeloteksta"/>
        <w:ind w:left="1800" w:right="1259"/>
        <w:jc w:val="both"/>
      </w:pPr>
    </w:p>
    <w:p w14:paraId="1868A899" w14:textId="771095E7" w:rsidR="00072641" w:rsidRDefault="00452167" w:rsidP="00072641">
      <w:pPr>
        <w:pStyle w:val="Tijeloteksta"/>
        <w:ind w:left="1800" w:right="1259"/>
        <w:jc w:val="both"/>
      </w:pPr>
      <w:r w:rsidRPr="00452167">
        <w:rPr>
          <w:b/>
        </w:rPr>
        <w:t>RAČUN FINANCIRANJA</w:t>
      </w:r>
      <w:r w:rsidRPr="00452167">
        <w:t xml:space="preserve"> – </w:t>
      </w:r>
      <w:r w:rsidR="00072641" w:rsidRPr="006D5FAE">
        <w:t>PRIMICI OD FINANCIJSKE IMOVINE I ZADUŽIVANJA (ekonomska klasifikacija 8) i IZDACI ZA FINANCIJSKU IMOVINU I OTPLATU ZAJMA (ekonomska klasifikacija 5) u 202</w:t>
      </w:r>
      <w:r w:rsidR="00650952">
        <w:t>5</w:t>
      </w:r>
      <w:r w:rsidR="00072641" w:rsidRPr="006D5FAE">
        <w:t>. god. iznose 0 kn, kao i u prošlogodišnjem razdoblju</w:t>
      </w:r>
    </w:p>
    <w:p w14:paraId="35893B98" w14:textId="22691F57" w:rsidR="004E35DA" w:rsidRDefault="00072641" w:rsidP="004E35DA">
      <w:pPr>
        <w:pStyle w:val="Tijeloteksta"/>
        <w:ind w:right="1259"/>
        <w:jc w:val="both"/>
      </w:pPr>
      <w:r>
        <w:tab/>
      </w:r>
      <w:r>
        <w:tab/>
      </w:r>
      <w:r>
        <w:tab/>
      </w:r>
    </w:p>
    <w:p w14:paraId="6AB45CF4" w14:textId="77777777" w:rsidR="00315A71" w:rsidRDefault="00315A71" w:rsidP="00A90AD6">
      <w:pPr>
        <w:pStyle w:val="Tijeloteksta"/>
        <w:ind w:left="1440" w:right="1259"/>
        <w:jc w:val="both"/>
        <w:rPr>
          <w:b/>
          <w:bCs/>
        </w:rPr>
      </w:pPr>
    </w:p>
    <w:p w14:paraId="286F65C7" w14:textId="77777777" w:rsidR="002804CB" w:rsidRDefault="002804CB" w:rsidP="00A90AD6">
      <w:pPr>
        <w:pStyle w:val="Tijeloteksta"/>
        <w:ind w:left="1440" w:right="1259"/>
        <w:jc w:val="both"/>
        <w:rPr>
          <w:b/>
          <w:bCs/>
        </w:rPr>
      </w:pPr>
    </w:p>
    <w:p w14:paraId="245EDCB3" w14:textId="77777777" w:rsidR="00315A71" w:rsidRDefault="00315A71" w:rsidP="00A90AD6">
      <w:pPr>
        <w:pStyle w:val="Tijeloteksta"/>
        <w:ind w:left="1440" w:right="1259"/>
        <w:jc w:val="both"/>
        <w:rPr>
          <w:b/>
          <w:bCs/>
        </w:rPr>
      </w:pPr>
    </w:p>
    <w:p w14:paraId="6645939F" w14:textId="77777777" w:rsidR="00315A71" w:rsidRDefault="00315A71" w:rsidP="00A90AD6">
      <w:pPr>
        <w:pStyle w:val="Tijeloteksta"/>
        <w:ind w:left="1440" w:right="1259"/>
        <w:jc w:val="both"/>
        <w:rPr>
          <w:b/>
          <w:bCs/>
        </w:rPr>
      </w:pPr>
    </w:p>
    <w:p w14:paraId="03ABDC32" w14:textId="1B54EF09" w:rsidR="00A90AD6" w:rsidRDefault="00A90AD6" w:rsidP="00A90AD6">
      <w:pPr>
        <w:pStyle w:val="Tijeloteksta"/>
        <w:ind w:left="1440" w:right="1259"/>
        <w:jc w:val="both"/>
        <w:rPr>
          <w:b/>
          <w:bCs/>
        </w:rPr>
      </w:pPr>
      <w:r w:rsidRPr="00C66166">
        <w:rPr>
          <w:b/>
          <w:bCs/>
        </w:rPr>
        <w:lastRenderedPageBreak/>
        <w:t>OBRAZLOŽENJE POSEBNOG DIJELA</w:t>
      </w:r>
      <w:r w:rsidR="00903A08">
        <w:rPr>
          <w:b/>
          <w:bCs/>
        </w:rPr>
        <w:t xml:space="preserve"> </w:t>
      </w:r>
      <w:r w:rsidR="00D46E8C">
        <w:rPr>
          <w:b/>
          <w:bCs/>
        </w:rPr>
        <w:t xml:space="preserve">IZVJEŠTAJA O IZVRŠENJU </w:t>
      </w:r>
      <w:r w:rsidR="000C7E54">
        <w:rPr>
          <w:b/>
          <w:bCs/>
        </w:rPr>
        <w:t xml:space="preserve">POLUGODIŠNJEG </w:t>
      </w:r>
      <w:r w:rsidR="00903A08">
        <w:rPr>
          <w:b/>
          <w:bCs/>
        </w:rPr>
        <w:t>FINANCIJSKOG PLANA</w:t>
      </w:r>
      <w:r w:rsidR="000C7E54">
        <w:rPr>
          <w:b/>
          <w:bCs/>
        </w:rPr>
        <w:t xml:space="preserve"> ZA 202</w:t>
      </w:r>
      <w:r w:rsidR="00672E81">
        <w:rPr>
          <w:b/>
          <w:bCs/>
        </w:rPr>
        <w:t>5</w:t>
      </w:r>
      <w:r w:rsidR="00D46E8C">
        <w:rPr>
          <w:b/>
          <w:bCs/>
        </w:rPr>
        <w:t>. godinu</w:t>
      </w:r>
    </w:p>
    <w:p w14:paraId="37F5C871" w14:textId="77777777" w:rsidR="00C66166" w:rsidRDefault="00C66166" w:rsidP="00A90AD6">
      <w:pPr>
        <w:pStyle w:val="Tijeloteksta"/>
        <w:ind w:left="1440" w:right="1259"/>
        <w:jc w:val="both"/>
        <w:rPr>
          <w:b/>
          <w:bCs/>
        </w:rPr>
      </w:pPr>
    </w:p>
    <w:p w14:paraId="472B51FB" w14:textId="77777777" w:rsidR="00675EED" w:rsidRDefault="002515F0">
      <w:pPr>
        <w:spacing w:before="121"/>
        <w:ind w:left="1440"/>
        <w:jc w:val="both"/>
        <w:rPr>
          <w:b/>
          <w:sz w:val="24"/>
        </w:rPr>
      </w:pPr>
      <w:bookmarkStart w:id="2" w:name="_Hlk147070597"/>
      <w:r>
        <w:rPr>
          <w:b/>
          <w:sz w:val="24"/>
        </w:rPr>
        <w:t>2512 Djelatnost ustanove u zdravstvu</w:t>
      </w:r>
    </w:p>
    <w:p w14:paraId="4B4FD29A" w14:textId="77777777" w:rsidR="00FD5131" w:rsidRDefault="00FD5131">
      <w:pPr>
        <w:spacing w:before="121"/>
        <w:ind w:left="1440"/>
        <w:jc w:val="both"/>
        <w:rPr>
          <w:b/>
          <w:sz w:val="24"/>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415"/>
        <w:gridCol w:w="1371"/>
        <w:gridCol w:w="1683"/>
        <w:gridCol w:w="1415"/>
        <w:gridCol w:w="1640"/>
        <w:gridCol w:w="1475"/>
      </w:tblGrid>
      <w:tr w:rsidR="00514195" w:rsidRPr="00785FFB" w14:paraId="048FD047" w14:textId="2EB003C2" w:rsidTr="006A44BF">
        <w:trPr>
          <w:trHeight w:val="737"/>
          <w:jc w:val="center"/>
        </w:trPr>
        <w:tc>
          <w:tcPr>
            <w:tcW w:w="1549" w:type="dxa"/>
            <w:shd w:val="clear" w:color="auto" w:fill="D9D9D9"/>
          </w:tcPr>
          <w:p w14:paraId="4FF8F9DA" w14:textId="20CB6530" w:rsidR="00780004" w:rsidRPr="00785FFB" w:rsidRDefault="008A7394" w:rsidP="008A7394">
            <w:bookmarkStart w:id="3" w:name="_Hlk147081209"/>
            <w:r>
              <w:t>Djelatnost ustanove</w:t>
            </w:r>
            <w:r>
              <w:tab/>
            </w:r>
            <w:r>
              <w:rPr>
                <w:spacing w:val="-17"/>
              </w:rPr>
              <w:t xml:space="preserve">u </w:t>
            </w:r>
            <w:r>
              <w:t>zdravstvu</w:t>
            </w:r>
          </w:p>
        </w:tc>
        <w:tc>
          <w:tcPr>
            <w:tcW w:w="1415" w:type="dxa"/>
            <w:shd w:val="clear" w:color="auto" w:fill="D9D9D9"/>
          </w:tcPr>
          <w:p w14:paraId="1D9612EA" w14:textId="7AFE36D4" w:rsidR="00780004" w:rsidRPr="00785FFB" w:rsidRDefault="00780004" w:rsidP="00672E81">
            <w:r>
              <w:t xml:space="preserve">Izvršenje financijskog plana </w:t>
            </w:r>
            <w:r w:rsidR="00D95386">
              <w:t>01.01.202</w:t>
            </w:r>
            <w:r w:rsidR="00672E81">
              <w:t>4</w:t>
            </w:r>
            <w:r w:rsidR="00D95386">
              <w:t>.-30.06.202</w:t>
            </w:r>
            <w:r w:rsidR="00672E81">
              <w:t>4</w:t>
            </w:r>
            <w:r w:rsidR="00D95386">
              <w:t>.</w:t>
            </w:r>
          </w:p>
        </w:tc>
        <w:tc>
          <w:tcPr>
            <w:tcW w:w="1371" w:type="dxa"/>
            <w:shd w:val="clear" w:color="auto" w:fill="D9D9D9"/>
          </w:tcPr>
          <w:p w14:paraId="21605202" w14:textId="2760E070" w:rsidR="00780004" w:rsidRPr="00785FFB" w:rsidRDefault="00780004" w:rsidP="00672E81">
            <w:r>
              <w:t>Financijski plan 202</w:t>
            </w:r>
            <w:r w:rsidR="00672E81">
              <w:t>5</w:t>
            </w:r>
            <w:r>
              <w:t>. godine</w:t>
            </w:r>
          </w:p>
        </w:tc>
        <w:tc>
          <w:tcPr>
            <w:tcW w:w="1683" w:type="dxa"/>
            <w:shd w:val="clear" w:color="auto" w:fill="D9D9D9"/>
          </w:tcPr>
          <w:p w14:paraId="0736D6A5" w14:textId="67AF1143" w:rsidR="00780004" w:rsidRPr="00785FFB" w:rsidRDefault="00514195" w:rsidP="00514195">
            <w:r>
              <w:t>Financijski</w:t>
            </w:r>
            <w:r w:rsidR="00780004">
              <w:t xml:space="preserve"> plana 202</w:t>
            </w:r>
            <w:r w:rsidR="00672E81">
              <w:t>5</w:t>
            </w:r>
            <w:r>
              <w:t>. – 1. rebalans</w:t>
            </w:r>
          </w:p>
        </w:tc>
        <w:tc>
          <w:tcPr>
            <w:tcW w:w="1415" w:type="dxa"/>
            <w:shd w:val="clear" w:color="auto" w:fill="D9D9D9"/>
          </w:tcPr>
          <w:p w14:paraId="5DD52918" w14:textId="5CF273C4" w:rsidR="00780004" w:rsidRPr="00785FFB" w:rsidRDefault="00780004" w:rsidP="00672E81">
            <w:r>
              <w:t>Izvršenje financijskog plana 01.01.202</w:t>
            </w:r>
            <w:r w:rsidR="00672E81">
              <w:t>5</w:t>
            </w:r>
            <w:r>
              <w:t xml:space="preserve">. – </w:t>
            </w:r>
            <w:r w:rsidR="00514195">
              <w:t>30.06.202</w:t>
            </w:r>
            <w:r w:rsidR="00672E81">
              <w:t>5</w:t>
            </w:r>
            <w:r w:rsidR="00514195">
              <w:t>.</w:t>
            </w:r>
          </w:p>
        </w:tc>
        <w:tc>
          <w:tcPr>
            <w:tcW w:w="1640" w:type="dxa"/>
            <w:shd w:val="clear" w:color="auto" w:fill="D9D9D9"/>
          </w:tcPr>
          <w:p w14:paraId="55965D8D" w14:textId="04CDCFC8" w:rsidR="00780004" w:rsidRPr="00785FFB" w:rsidRDefault="00780004" w:rsidP="00D95386">
            <w:r>
              <w:t>Izvršenje u odnosu na 202</w:t>
            </w:r>
            <w:r w:rsidR="00672E81">
              <w:t>4</w:t>
            </w:r>
            <w:r>
              <w:t>.g.</w:t>
            </w:r>
          </w:p>
        </w:tc>
        <w:tc>
          <w:tcPr>
            <w:tcW w:w="1475" w:type="dxa"/>
            <w:shd w:val="clear" w:color="auto" w:fill="D9D9D9"/>
          </w:tcPr>
          <w:p w14:paraId="166D60D6" w14:textId="7A05F02E" w:rsidR="00780004" w:rsidRDefault="00780004" w:rsidP="002604B5">
            <w:r>
              <w:t>Izvršenje</w:t>
            </w:r>
            <w:r w:rsidR="002604B5">
              <w:t xml:space="preserve"> </w:t>
            </w:r>
            <w:r>
              <w:t xml:space="preserve">u odnosu na </w:t>
            </w:r>
            <w:proofErr w:type="spellStart"/>
            <w:r>
              <w:t>fin.plan</w:t>
            </w:r>
            <w:proofErr w:type="spellEnd"/>
            <w:r>
              <w:t xml:space="preserve"> za 202</w:t>
            </w:r>
            <w:r w:rsidR="00672E81">
              <w:t>5</w:t>
            </w:r>
            <w:r>
              <w:t>.g. (</w:t>
            </w:r>
            <w:r w:rsidR="00D95386">
              <w:t>1</w:t>
            </w:r>
            <w:r>
              <w:t>. rebalans)</w:t>
            </w:r>
          </w:p>
          <w:p w14:paraId="318D06D7" w14:textId="01BBA31E" w:rsidR="00780004" w:rsidRPr="00785FFB" w:rsidRDefault="00780004" w:rsidP="002604B5"/>
        </w:tc>
      </w:tr>
      <w:tr w:rsidR="00514195" w:rsidRPr="00785FFB" w14:paraId="7A3A2D0D" w14:textId="0A4C2606" w:rsidTr="006A44BF">
        <w:trPr>
          <w:trHeight w:val="737"/>
          <w:jc w:val="center"/>
        </w:trPr>
        <w:tc>
          <w:tcPr>
            <w:tcW w:w="1549" w:type="dxa"/>
          </w:tcPr>
          <w:p w14:paraId="309F2194" w14:textId="77777777" w:rsidR="00780004" w:rsidRDefault="00780004" w:rsidP="002A58FC">
            <w:pPr>
              <w:jc w:val="both"/>
            </w:pPr>
            <w:r w:rsidRPr="00785FFB">
              <w:t>Šifra programa</w:t>
            </w:r>
          </w:p>
          <w:p w14:paraId="1C35F668" w14:textId="7622516D" w:rsidR="00780004" w:rsidRPr="00785FFB" w:rsidRDefault="00780004" w:rsidP="002A58FC">
            <w:pPr>
              <w:jc w:val="both"/>
            </w:pPr>
            <w:r>
              <w:t>2512</w:t>
            </w:r>
          </w:p>
        </w:tc>
        <w:tc>
          <w:tcPr>
            <w:tcW w:w="1415" w:type="dxa"/>
          </w:tcPr>
          <w:p w14:paraId="5D3AB99D" w14:textId="5D283BF8" w:rsidR="00780004" w:rsidRPr="00785FFB" w:rsidRDefault="00F138AD" w:rsidP="002A58FC">
            <w:pPr>
              <w:jc w:val="both"/>
            </w:pPr>
            <w:r>
              <w:t>3.383.080,81</w:t>
            </w:r>
          </w:p>
        </w:tc>
        <w:tc>
          <w:tcPr>
            <w:tcW w:w="1371" w:type="dxa"/>
          </w:tcPr>
          <w:p w14:paraId="30EFA0F7" w14:textId="1BCACCC4" w:rsidR="00780004" w:rsidRPr="00785FFB" w:rsidRDefault="00F138AD" w:rsidP="002A58FC">
            <w:pPr>
              <w:jc w:val="both"/>
            </w:pPr>
            <w:r>
              <w:t>7.357.021,98</w:t>
            </w:r>
          </w:p>
        </w:tc>
        <w:tc>
          <w:tcPr>
            <w:tcW w:w="1683" w:type="dxa"/>
          </w:tcPr>
          <w:p w14:paraId="73FEF0E7" w14:textId="4E1E33A0" w:rsidR="00780004" w:rsidRPr="00785FFB" w:rsidRDefault="00F138AD" w:rsidP="002A58FC">
            <w:pPr>
              <w:jc w:val="both"/>
            </w:pPr>
            <w:r>
              <w:t>8.234.302,73</w:t>
            </w:r>
          </w:p>
        </w:tc>
        <w:tc>
          <w:tcPr>
            <w:tcW w:w="1415" w:type="dxa"/>
          </w:tcPr>
          <w:p w14:paraId="166CD192" w14:textId="77AF5258" w:rsidR="00780004" w:rsidRPr="00785FFB" w:rsidRDefault="00F138AD" w:rsidP="002A58FC">
            <w:pPr>
              <w:jc w:val="both"/>
            </w:pPr>
            <w:r>
              <w:t>3.959.096,34</w:t>
            </w:r>
          </w:p>
        </w:tc>
        <w:tc>
          <w:tcPr>
            <w:tcW w:w="1640" w:type="dxa"/>
          </w:tcPr>
          <w:p w14:paraId="67B0870F" w14:textId="3DFAD2FA" w:rsidR="00780004" w:rsidRPr="00785FFB" w:rsidRDefault="00F138AD" w:rsidP="00F138AD">
            <w:pPr>
              <w:jc w:val="both"/>
            </w:pPr>
            <w:r>
              <w:t>117,03</w:t>
            </w:r>
          </w:p>
        </w:tc>
        <w:tc>
          <w:tcPr>
            <w:tcW w:w="1475" w:type="dxa"/>
          </w:tcPr>
          <w:p w14:paraId="265B6556" w14:textId="6C52C274" w:rsidR="00CF38D4" w:rsidRDefault="00F138AD" w:rsidP="002A58FC">
            <w:pPr>
              <w:jc w:val="both"/>
            </w:pPr>
            <w:r>
              <w:t>48,08</w:t>
            </w:r>
          </w:p>
        </w:tc>
      </w:tr>
    </w:tbl>
    <w:bookmarkEnd w:id="2"/>
    <w:bookmarkEnd w:id="3"/>
    <w:p w14:paraId="1FC9D3B5" w14:textId="2DD3E58F" w:rsidR="003E0FEF" w:rsidRDefault="002515F0" w:rsidP="00362A76">
      <w:pPr>
        <w:spacing w:before="90"/>
        <w:ind w:left="1440"/>
      </w:pPr>
      <w:r>
        <w:rPr>
          <w:b/>
          <w:sz w:val="24"/>
        </w:rPr>
        <w:t>Opis programa</w:t>
      </w:r>
      <w:r w:rsidR="003E0FEF">
        <w:rPr>
          <w:b/>
        </w:rPr>
        <w:tab/>
      </w:r>
      <w:r w:rsidR="003E0FEF">
        <w:rPr>
          <w:b/>
        </w:rPr>
        <w:tab/>
      </w:r>
    </w:p>
    <w:p w14:paraId="0768686A" w14:textId="0E2B6529" w:rsidR="00910957" w:rsidRDefault="00EC4E21" w:rsidP="004D4921">
      <w:pPr>
        <w:pStyle w:val="Tijeloteksta"/>
        <w:spacing w:before="1"/>
        <w:ind w:left="1440" w:right="1477"/>
        <w:jc w:val="both"/>
      </w:pPr>
      <w:r w:rsidRPr="00EC4E21">
        <w:t xml:space="preserve">Opis programa: Program 2512 Djelatnost ustanova u zdravstvu provodi se kroz aktivnost A2512-01 Administracija i upravljanje, aktivnost A2512-02 Investicijsko i tekuće održavanje, A2512-09 Zdravstvo – iznad standarda i kapitalni projekt K2512-03 Investicijsko ulaganje. </w:t>
      </w:r>
    </w:p>
    <w:p w14:paraId="4B7A5A89" w14:textId="77777777" w:rsidR="00910957" w:rsidRDefault="00910957" w:rsidP="004D4921">
      <w:pPr>
        <w:pStyle w:val="Tijeloteksta"/>
        <w:spacing w:before="1"/>
        <w:ind w:left="1440" w:right="1477"/>
        <w:jc w:val="both"/>
      </w:pPr>
    </w:p>
    <w:p w14:paraId="22B9FF0F" w14:textId="3827EFB7" w:rsidR="00675EED" w:rsidRDefault="002515F0" w:rsidP="004D4921">
      <w:pPr>
        <w:pStyle w:val="Tijeloteksta"/>
        <w:spacing w:before="1"/>
        <w:ind w:left="1440" w:right="1477"/>
        <w:jc w:val="both"/>
      </w:pPr>
      <w:r>
        <w:t>Zavod, u cilju očuvanja i unaprjeđenja zdravlja pučanstva, provodi javnozdravstvenu djelatnost kroz specifičnu preventivnu zdravstvenu zaštitu djece i mladeži, osobito u</w:t>
      </w:r>
      <w:r w:rsidR="006D2915">
        <w:t xml:space="preserve"> </w:t>
      </w:r>
      <w:r>
        <w:t xml:space="preserve">osnovnim i srednjim školama te fakultetima na svom području, prati, proučava, evaluira i izvješćuje o zdravstvenim potrebama i funkcionalnoj onesposobljenosti starijih ljudi te predlaže zdravstvene mjere za svoje područje, prikuplja, kontrolira i analizira statistička izvješća iz područja zdravstva uključujući bolesti ovisnosti, na razini jedinice područne (regionalne) samouprave za potrebe Hrvatskog zavoda za javno zdravstvo, kontinuirano provodi mjere higijensko-epidemiološke zaštite s epidemiološkom analizom stanja na području jedinice područne (regionalne) samouprave i po potrebi provodi protuepidemijske mjere te nadzire provođenje obveznih imunizacija, provodi mjere gerontološke zdravstvene zaštite, analizira epidemiološko stanje, planira, predlaže i sudjeluje u provođenju mjera i aktivnosti za sprečavanje, rano otkrivanje i suzbijanje bolesti ovisnosti, surađuje sa zdravstvenim i drugim ustanovama i zdravstvenim radnicima </w:t>
      </w:r>
      <w:r w:rsidR="004B0317">
        <w:t>u provedbi dijagnostike i lije</w:t>
      </w:r>
      <w:r>
        <w:t xml:space="preserve">čenja bolesti ovisnosti te rehabilitacije i društvene integracije ovisnika, nadzire provedbu mjera dezinfekcije, dezinsekcije i deratizacije te provodi preventivne i protuepidemijske postupke dezinfekcije, dezinsekcije i deratizacije za područje jedinice područne (regionalne) samouprave, obavlja mikrobiološku djelatnost (koja uključuje ispitivanja iz područja: bakteriologije, virologije, </w:t>
      </w:r>
      <w:proofErr w:type="spellStart"/>
      <w:r>
        <w:t>mik</w:t>
      </w:r>
      <w:r w:rsidR="00C0450D">
        <w:t>r</w:t>
      </w:r>
      <w:r>
        <w:t>ologije</w:t>
      </w:r>
      <w:proofErr w:type="spellEnd"/>
      <w:r>
        <w:t xml:space="preserve"> i parazitologije) od interesa za jedinicu područne (regionalne) samouprave, prati, proučava, analizira i ocjenjuje zdravstvenu ispravnost vode  za piće, vode za rekreaciju i fizikalnu terapiju, površinske i otpadne vode, stanje vodoopskrbe, te zdravstvenu ispravnost namirnica i predmeta opće uporabe za područje jedinice područne (regionalne) samouprave (pri čemu obavlja specijalizirane djelatnosti za obavljanje tehničkog ispitivanja i analize namirnica i predmeta opće uporabe; ispituje kakvoću ulja od ploda i komine maslina; ispituje kakvoću meda i drugih pčelinjih</w:t>
      </w:r>
      <w:r>
        <w:rPr>
          <w:spacing w:val="-13"/>
        </w:rPr>
        <w:t xml:space="preserve"> </w:t>
      </w:r>
      <w:r>
        <w:t>proizvoda.</w:t>
      </w:r>
    </w:p>
    <w:p w14:paraId="02A4BF6C" w14:textId="77777777" w:rsidR="00675EED" w:rsidRDefault="00675EED" w:rsidP="009B16D1">
      <w:pPr>
        <w:pStyle w:val="Tijeloteksta"/>
        <w:spacing w:before="2"/>
        <w:ind w:left="1440" w:right="1429"/>
        <w:rPr>
          <w:sz w:val="21"/>
        </w:rPr>
      </w:pPr>
    </w:p>
    <w:p w14:paraId="0550462A" w14:textId="77777777" w:rsidR="00675EED" w:rsidRPr="006A44D4" w:rsidRDefault="002515F0" w:rsidP="009B16D1">
      <w:pPr>
        <w:pStyle w:val="Naslov1"/>
        <w:spacing w:line="274" w:lineRule="exact"/>
        <w:ind w:right="1429"/>
        <w:jc w:val="left"/>
        <w:rPr>
          <w:color w:val="000000" w:themeColor="text1"/>
        </w:rPr>
      </w:pPr>
      <w:r w:rsidRPr="006A44D4">
        <w:rPr>
          <w:color w:val="000000" w:themeColor="text1"/>
        </w:rPr>
        <w:t>Zakonske i druge pravne osnove:</w:t>
      </w:r>
    </w:p>
    <w:p w14:paraId="4E4D630B" w14:textId="77777777" w:rsidR="00362A76" w:rsidRDefault="002515F0" w:rsidP="002A58FC">
      <w:pPr>
        <w:pStyle w:val="Tijeloteksta"/>
        <w:numPr>
          <w:ilvl w:val="0"/>
          <w:numId w:val="9"/>
        </w:numPr>
        <w:spacing w:before="1" w:line="274" w:lineRule="exact"/>
        <w:ind w:right="1429"/>
        <w:rPr>
          <w:color w:val="000000" w:themeColor="text1"/>
        </w:rPr>
      </w:pPr>
      <w:r w:rsidRPr="00362A76">
        <w:rPr>
          <w:color w:val="000000" w:themeColor="text1"/>
        </w:rPr>
        <w:t xml:space="preserve">Zakon o ustanovama </w:t>
      </w:r>
    </w:p>
    <w:p w14:paraId="6BC3391C" w14:textId="6E4FD973" w:rsidR="00675EED" w:rsidRPr="00362A76" w:rsidRDefault="00362A76" w:rsidP="002A58FC">
      <w:pPr>
        <w:pStyle w:val="Tijeloteksta"/>
        <w:numPr>
          <w:ilvl w:val="0"/>
          <w:numId w:val="9"/>
        </w:numPr>
        <w:spacing w:before="1" w:line="274" w:lineRule="exact"/>
        <w:ind w:right="1429"/>
        <w:rPr>
          <w:color w:val="000000" w:themeColor="text1"/>
        </w:rPr>
      </w:pPr>
      <w:r>
        <w:rPr>
          <w:color w:val="000000" w:themeColor="text1"/>
        </w:rPr>
        <w:t>Z</w:t>
      </w:r>
      <w:r w:rsidR="002515F0" w:rsidRPr="00362A76">
        <w:rPr>
          <w:color w:val="000000" w:themeColor="text1"/>
        </w:rPr>
        <w:t xml:space="preserve">akon o zdravstvenoj zaštiti </w:t>
      </w:r>
    </w:p>
    <w:p w14:paraId="3B72C5CF" w14:textId="7D2C452D" w:rsidR="00675EED" w:rsidRPr="006A44D4" w:rsidRDefault="002515F0" w:rsidP="009B16D1">
      <w:pPr>
        <w:pStyle w:val="Odlomakpopisa"/>
        <w:numPr>
          <w:ilvl w:val="0"/>
          <w:numId w:val="9"/>
        </w:numPr>
        <w:tabs>
          <w:tab w:val="left" w:pos="2161"/>
        </w:tabs>
        <w:ind w:right="1429"/>
        <w:rPr>
          <w:color w:val="000000" w:themeColor="text1"/>
          <w:sz w:val="24"/>
        </w:rPr>
      </w:pPr>
      <w:r w:rsidRPr="006A44D4">
        <w:rPr>
          <w:color w:val="000000" w:themeColor="text1"/>
          <w:sz w:val="24"/>
        </w:rPr>
        <w:t xml:space="preserve">Zakon o obveznom zdravstvenom osiguranju </w:t>
      </w:r>
    </w:p>
    <w:p w14:paraId="3D1B598F" w14:textId="4F8E98E8" w:rsidR="00675EED" w:rsidRPr="006A44D4" w:rsidRDefault="002515F0" w:rsidP="002912F3">
      <w:pPr>
        <w:pStyle w:val="Odlomakpopisa"/>
        <w:numPr>
          <w:ilvl w:val="0"/>
          <w:numId w:val="9"/>
        </w:numPr>
        <w:tabs>
          <w:tab w:val="left" w:pos="2161"/>
        </w:tabs>
        <w:spacing w:before="1"/>
        <w:ind w:right="1429"/>
        <w:rPr>
          <w:color w:val="000000" w:themeColor="text1"/>
          <w:sz w:val="24"/>
        </w:rPr>
      </w:pPr>
      <w:r w:rsidRPr="006A44D4">
        <w:rPr>
          <w:color w:val="000000" w:themeColor="text1"/>
          <w:sz w:val="24"/>
        </w:rPr>
        <w:t xml:space="preserve">Zakon o dobrovoljnom zdravstvenom osiguranju </w:t>
      </w:r>
    </w:p>
    <w:p w14:paraId="5D47A81A" w14:textId="1B3DB1DD" w:rsidR="00675EED" w:rsidRPr="006A44D4" w:rsidRDefault="002515F0" w:rsidP="002912F3">
      <w:pPr>
        <w:pStyle w:val="Odlomakpopisa"/>
        <w:numPr>
          <w:ilvl w:val="0"/>
          <w:numId w:val="9"/>
        </w:numPr>
        <w:tabs>
          <w:tab w:val="left" w:pos="2161"/>
        </w:tabs>
        <w:ind w:right="1429"/>
        <w:rPr>
          <w:color w:val="000000" w:themeColor="text1"/>
          <w:sz w:val="24"/>
        </w:rPr>
      </w:pPr>
      <w:r w:rsidRPr="006A44D4">
        <w:rPr>
          <w:color w:val="000000" w:themeColor="text1"/>
          <w:sz w:val="24"/>
        </w:rPr>
        <w:t xml:space="preserve">Zakon o zaštiti pučanstva od zaraznih bolesti </w:t>
      </w:r>
    </w:p>
    <w:p w14:paraId="2108CF87" w14:textId="28DD352B" w:rsidR="00675EED" w:rsidRPr="00EE7920" w:rsidRDefault="002515F0" w:rsidP="009B16D1">
      <w:pPr>
        <w:pStyle w:val="Odlomakpopisa"/>
        <w:numPr>
          <w:ilvl w:val="0"/>
          <w:numId w:val="9"/>
        </w:numPr>
        <w:tabs>
          <w:tab w:val="left" w:pos="2161"/>
        </w:tabs>
        <w:ind w:right="1429"/>
        <w:rPr>
          <w:color w:val="000000" w:themeColor="text1"/>
          <w:sz w:val="24"/>
        </w:rPr>
      </w:pPr>
      <w:r w:rsidRPr="00EE7920">
        <w:rPr>
          <w:color w:val="000000" w:themeColor="text1"/>
          <w:sz w:val="24"/>
        </w:rPr>
        <w:t xml:space="preserve">Zakon o suzbijanju zlouporabe droga </w:t>
      </w:r>
    </w:p>
    <w:p w14:paraId="79B2ECF9" w14:textId="77777777" w:rsidR="006E7905" w:rsidRDefault="002515F0" w:rsidP="002A58FC">
      <w:pPr>
        <w:pStyle w:val="Odlomakpopisa"/>
        <w:numPr>
          <w:ilvl w:val="0"/>
          <w:numId w:val="9"/>
        </w:numPr>
        <w:tabs>
          <w:tab w:val="left" w:pos="2161"/>
        </w:tabs>
        <w:spacing w:before="1"/>
        <w:ind w:right="1429"/>
        <w:rPr>
          <w:color w:val="000000" w:themeColor="text1"/>
          <w:sz w:val="24"/>
        </w:rPr>
      </w:pPr>
      <w:r w:rsidRPr="006E7905">
        <w:rPr>
          <w:color w:val="000000" w:themeColor="text1"/>
          <w:sz w:val="24"/>
        </w:rPr>
        <w:t>Zakon o kvaliteti zdravstvene zaštite i socijalne skrbi (</w:t>
      </w:r>
    </w:p>
    <w:p w14:paraId="3F926A2A" w14:textId="0E7D5858" w:rsidR="00675EED" w:rsidRPr="006E7905" w:rsidRDefault="002515F0" w:rsidP="002A58FC">
      <w:pPr>
        <w:pStyle w:val="Odlomakpopisa"/>
        <w:numPr>
          <w:ilvl w:val="0"/>
          <w:numId w:val="9"/>
        </w:numPr>
        <w:tabs>
          <w:tab w:val="left" w:pos="2161"/>
        </w:tabs>
        <w:spacing w:before="1"/>
        <w:ind w:right="1429"/>
        <w:rPr>
          <w:color w:val="000000" w:themeColor="text1"/>
          <w:sz w:val="24"/>
        </w:rPr>
      </w:pPr>
      <w:r w:rsidRPr="006E7905">
        <w:rPr>
          <w:color w:val="000000" w:themeColor="text1"/>
          <w:sz w:val="24"/>
        </w:rPr>
        <w:t xml:space="preserve">Čitav niz posebnih zakona, pravilnika i odluka koji reguliraju djelatnosti rada stručnih </w:t>
      </w:r>
      <w:r w:rsidRPr="006E7905">
        <w:rPr>
          <w:color w:val="000000" w:themeColor="text1"/>
          <w:sz w:val="24"/>
        </w:rPr>
        <w:lastRenderedPageBreak/>
        <w:t>službi, a ovdje se posebno ne</w:t>
      </w:r>
      <w:r w:rsidRPr="006E7905">
        <w:rPr>
          <w:color w:val="000000" w:themeColor="text1"/>
          <w:spacing w:val="-5"/>
          <w:sz w:val="24"/>
        </w:rPr>
        <w:t xml:space="preserve"> </w:t>
      </w:r>
      <w:r w:rsidRPr="006E7905">
        <w:rPr>
          <w:color w:val="000000" w:themeColor="text1"/>
          <w:sz w:val="24"/>
        </w:rPr>
        <w:t>nabrajaju.</w:t>
      </w:r>
    </w:p>
    <w:p w14:paraId="6EFF9E54" w14:textId="77777777" w:rsidR="00675EED" w:rsidRPr="00EE7920" w:rsidRDefault="00675EED" w:rsidP="009B16D1">
      <w:pPr>
        <w:pStyle w:val="Tijeloteksta"/>
        <w:spacing w:before="5"/>
        <w:ind w:left="1440" w:right="1429"/>
        <w:rPr>
          <w:color w:val="000000" w:themeColor="text1"/>
        </w:rPr>
      </w:pPr>
    </w:p>
    <w:p w14:paraId="5F69EAE2" w14:textId="77777777" w:rsidR="00675EED" w:rsidRPr="00C61757" w:rsidRDefault="006D2915" w:rsidP="009B16D1">
      <w:pPr>
        <w:pStyle w:val="Naslov1"/>
        <w:spacing w:line="274" w:lineRule="exact"/>
        <w:ind w:right="1429"/>
        <w:jc w:val="left"/>
        <w:rPr>
          <w:color w:val="000000" w:themeColor="text1"/>
        </w:rPr>
      </w:pPr>
      <w:r w:rsidRPr="00C61757">
        <w:rPr>
          <w:color w:val="000000" w:themeColor="text1"/>
        </w:rPr>
        <w:t xml:space="preserve"> </w:t>
      </w:r>
      <w:r w:rsidR="002515F0" w:rsidRPr="00C61757">
        <w:rPr>
          <w:color w:val="000000" w:themeColor="text1"/>
        </w:rPr>
        <w:t>Na poslovanje Zavoda utječu odredbe i drugih propisa:</w:t>
      </w:r>
    </w:p>
    <w:p w14:paraId="149F2458" w14:textId="77777777" w:rsidR="006E7905" w:rsidRDefault="002515F0" w:rsidP="002A58FC">
      <w:pPr>
        <w:pStyle w:val="Odlomakpopisa"/>
        <w:numPr>
          <w:ilvl w:val="0"/>
          <w:numId w:val="10"/>
        </w:numPr>
        <w:tabs>
          <w:tab w:val="left" w:pos="2161"/>
        </w:tabs>
        <w:ind w:right="1429"/>
        <w:rPr>
          <w:color w:val="000000" w:themeColor="text1"/>
          <w:sz w:val="24"/>
        </w:rPr>
      </w:pPr>
      <w:r w:rsidRPr="006E7905">
        <w:rPr>
          <w:color w:val="000000" w:themeColor="text1"/>
          <w:sz w:val="24"/>
        </w:rPr>
        <w:t xml:space="preserve">Zakon o proračunu </w:t>
      </w:r>
    </w:p>
    <w:p w14:paraId="1F743F3D" w14:textId="3841F7D2" w:rsidR="00675EED" w:rsidRPr="006E7905" w:rsidRDefault="002515F0" w:rsidP="002A58FC">
      <w:pPr>
        <w:pStyle w:val="Odlomakpopisa"/>
        <w:numPr>
          <w:ilvl w:val="0"/>
          <w:numId w:val="10"/>
        </w:numPr>
        <w:tabs>
          <w:tab w:val="left" w:pos="2161"/>
        </w:tabs>
        <w:ind w:right="1429"/>
        <w:rPr>
          <w:color w:val="000000" w:themeColor="text1"/>
          <w:sz w:val="24"/>
        </w:rPr>
      </w:pPr>
      <w:r w:rsidRPr="006E7905">
        <w:rPr>
          <w:color w:val="000000" w:themeColor="text1"/>
          <w:sz w:val="24"/>
        </w:rPr>
        <w:t xml:space="preserve">Zakon o fiskalnoj odgovornosti </w:t>
      </w:r>
    </w:p>
    <w:p w14:paraId="0DFF1471" w14:textId="77777777" w:rsidR="006E7905" w:rsidRDefault="002515F0" w:rsidP="002A58FC">
      <w:pPr>
        <w:pStyle w:val="Odlomakpopisa"/>
        <w:numPr>
          <w:ilvl w:val="0"/>
          <w:numId w:val="10"/>
        </w:numPr>
        <w:tabs>
          <w:tab w:val="left" w:pos="2161"/>
        </w:tabs>
        <w:ind w:right="1429"/>
        <w:rPr>
          <w:color w:val="000000" w:themeColor="text1"/>
          <w:sz w:val="24"/>
        </w:rPr>
      </w:pPr>
      <w:r w:rsidRPr="006E7905">
        <w:rPr>
          <w:color w:val="000000" w:themeColor="text1"/>
          <w:sz w:val="24"/>
        </w:rPr>
        <w:t>Zakon o javnoj nabavi (</w:t>
      </w:r>
    </w:p>
    <w:p w14:paraId="374DBF4D" w14:textId="7E2E85C8" w:rsidR="003D1413" w:rsidRPr="006E7905" w:rsidRDefault="002515F0" w:rsidP="002A58FC">
      <w:pPr>
        <w:pStyle w:val="Odlomakpopisa"/>
        <w:numPr>
          <w:ilvl w:val="0"/>
          <w:numId w:val="10"/>
        </w:numPr>
        <w:tabs>
          <w:tab w:val="left" w:pos="2161"/>
        </w:tabs>
        <w:ind w:right="1429"/>
        <w:rPr>
          <w:color w:val="000000" w:themeColor="text1"/>
          <w:sz w:val="24"/>
        </w:rPr>
      </w:pPr>
      <w:r w:rsidRPr="006E7905">
        <w:rPr>
          <w:color w:val="000000" w:themeColor="text1"/>
          <w:sz w:val="24"/>
        </w:rPr>
        <w:t xml:space="preserve">Zakon o obveznim odnosima </w:t>
      </w:r>
    </w:p>
    <w:p w14:paraId="3CB0AEFC" w14:textId="01346488" w:rsidR="00675EED" w:rsidRPr="0040161B" w:rsidRDefault="002515F0" w:rsidP="00CE278D">
      <w:pPr>
        <w:pStyle w:val="Odlomakpopisa"/>
        <w:numPr>
          <w:ilvl w:val="0"/>
          <w:numId w:val="10"/>
        </w:numPr>
        <w:tabs>
          <w:tab w:val="left" w:pos="2161"/>
        </w:tabs>
        <w:ind w:right="1429"/>
        <w:rPr>
          <w:color w:val="000000" w:themeColor="text1"/>
          <w:sz w:val="24"/>
        </w:rPr>
      </w:pPr>
      <w:r w:rsidRPr="0040161B">
        <w:rPr>
          <w:color w:val="000000" w:themeColor="text1"/>
          <w:sz w:val="24"/>
        </w:rPr>
        <w:t xml:space="preserve">Ovršni zakon </w:t>
      </w:r>
    </w:p>
    <w:p w14:paraId="6135D45C" w14:textId="1A5B20B3" w:rsidR="00675EED" w:rsidRPr="0040161B" w:rsidRDefault="002515F0" w:rsidP="00CE278D">
      <w:pPr>
        <w:pStyle w:val="Odlomakpopisa"/>
        <w:numPr>
          <w:ilvl w:val="0"/>
          <w:numId w:val="10"/>
        </w:numPr>
        <w:tabs>
          <w:tab w:val="left" w:pos="2161"/>
        </w:tabs>
        <w:ind w:right="1429"/>
        <w:rPr>
          <w:color w:val="000000" w:themeColor="text1"/>
          <w:sz w:val="24"/>
        </w:rPr>
      </w:pPr>
      <w:r w:rsidRPr="0040161B">
        <w:rPr>
          <w:color w:val="000000" w:themeColor="text1"/>
          <w:sz w:val="24"/>
        </w:rPr>
        <w:t xml:space="preserve">Zakon o akreditaciji </w:t>
      </w:r>
    </w:p>
    <w:p w14:paraId="507D441E" w14:textId="77777777" w:rsidR="006E7905" w:rsidRDefault="002515F0" w:rsidP="002A58FC">
      <w:pPr>
        <w:pStyle w:val="Odlomakpopisa"/>
        <w:numPr>
          <w:ilvl w:val="0"/>
          <w:numId w:val="10"/>
        </w:numPr>
        <w:tabs>
          <w:tab w:val="left" w:pos="2161"/>
        </w:tabs>
        <w:ind w:right="1429"/>
        <w:rPr>
          <w:color w:val="000000" w:themeColor="text1"/>
          <w:sz w:val="24"/>
        </w:rPr>
      </w:pPr>
      <w:r w:rsidRPr="006E7905">
        <w:rPr>
          <w:color w:val="000000" w:themeColor="text1"/>
          <w:sz w:val="24"/>
        </w:rPr>
        <w:t xml:space="preserve">Zakon o arhivskom gradivu i arhivima </w:t>
      </w:r>
    </w:p>
    <w:p w14:paraId="2597FD2F" w14:textId="479594E1" w:rsidR="00BC31F1" w:rsidRPr="006E7905" w:rsidRDefault="00BC31F1" w:rsidP="002A58FC">
      <w:pPr>
        <w:pStyle w:val="Odlomakpopisa"/>
        <w:numPr>
          <w:ilvl w:val="0"/>
          <w:numId w:val="10"/>
        </w:numPr>
        <w:tabs>
          <w:tab w:val="left" w:pos="2161"/>
        </w:tabs>
        <w:ind w:right="1429"/>
        <w:rPr>
          <w:color w:val="000000" w:themeColor="text1"/>
          <w:sz w:val="24"/>
        </w:rPr>
      </w:pPr>
      <w:r w:rsidRPr="006E7905">
        <w:rPr>
          <w:color w:val="000000" w:themeColor="text1"/>
          <w:sz w:val="24"/>
        </w:rPr>
        <w:t xml:space="preserve">Čitav niz posebnih zakona, pravilnika i odluka koji reguliraju djelatnosti rada </w:t>
      </w:r>
      <w:r w:rsidR="00154F33" w:rsidRPr="006E7905">
        <w:rPr>
          <w:color w:val="000000" w:themeColor="text1"/>
          <w:sz w:val="24"/>
        </w:rPr>
        <w:t>ustanove</w:t>
      </w:r>
      <w:r w:rsidRPr="006E7905">
        <w:rPr>
          <w:color w:val="000000" w:themeColor="text1"/>
          <w:sz w:val="24"/>
        </w:rPr>
        <w:t>, a ovdje se posebno ne nabrajaju.</w:t>
      </w:r>
    </w:p>
    <w:p w14:paraId="0F9CFB1A" w14:textId="77777777" w:rsidR="0033220D" w:rsidRDefault="0033220D" w:rsidP="0033220D">
      <w:pPr>
        <w:pStyle w:val="Odlomakpopisa"/>
        <w:tabs>
          <w:tab w:val="left" w:pos="2161"/>
        </w:tabs>
        <w:ind w:right="1429" w:firstLine="0"/>
        <w:rPr>
          <w:color w:val="000000" w:themeColor="text1"/>
          <w:sz w:val="24"/>
        </w:rPr>
      </w:pPr>
    </w:p>
    <w:p w14:paraId="18C17C86" w14:textId="66346B46" w:rsidR="00675EED" w:rsidRDefault="002515F0" w:rsidP="009B16D1">
      <w:pPr>
        <w:pStyle w:val="Naslov1"/>
        <w:ind w:right="1429"/>
      </w:pPr>
      <w:r>
        <w:t>Cilj pr</w:t>
      </w:r>
      <w:r w:rsidR="004B0317">
        <w:t>ovedbe programa u razdoblju 202</w:t>
      </w:r>
      <w:r w:rsidR="006573B7">
        <w:t>4</w:t>
      </w:r>
      <w:r w:rsidR="004B0317">
        <w:t>.-202</w:t>
      </w:r>
      <w:r w:rsidR="006573B7">
        <w:t>6</w:t>
      </w:r>
      <w:r>
        <w:t>. i pokazatelji uspješnosti kojima će se mjeriti ostvarenje tih ciljeva</w:t>
      </w:r>
    </w:p>
    <w:p w14:paraId="2385ED26" w14:textId="4FB3E004" w:rsidR="00675EED" w:rsidRDefault="002515F0" w:rsidP="00D97F75">
      <w:pPr>
        <w:pStyle w:val="Tijeloteksta"/>
        <w:spacing w:before="115"/>
        <w:ind w:left="1440" w:right="1433"/>
        <w:jc w:val="both"/>
      </w:pPr>
      <w:r>
        <w:t xml:space="preserve">Unaprjeđenje i očuvanje zdravlja pučanstva kroz javnozdravstvenu djelatnost Zavoda u Zadarskoj županiji ima za cilj promociju zaštite zdravlja i zdravstvene kulture, smanjenje zaraznih i nezaraznih bolesti, povećanje broja polaznika tečaja iz higijenskog minimuma te broja obavljenih zdravstvenih pregleda, zatim obuhvaćanje sve većeg broja stanovništva koji bi obavili preventivne kontrole u sklopu nacionalnih programa za rano otkrivanje raka (dojke, debelog crijeva i vrata maternice), prikupljanje točnih i sveobuhvatnih podataka ostalih zdravstvenih ustanova vezano za oboljenja i smrtnost stanovništva, promoviranje zdravog životnog ponašanja u cilju prevencije bolesti kroz razne javnozdravstvene akcije (seminari, tribine, predavanja, radionice...), provođenje specifične preventivne zaštite školske djece i adolescenata putem sistematskih, namjenskih i kontrolnih pregleda te </w:t>
      </w:r>
      <w:proofErr w:type="spellStart"/>
      <w:r>
        <w:t>screening</w:t>
      </w:r>
      <w:proofErr w:type="spellEnd"/>
      <w:r>
        <w:t>-a, cijepljenje što većeg broja djece te provođenje edukacija o pravilnim stavovima o zdravom načinu života, podizanje kvalitete života djece, mladeži i obitelji te promocija zdravlja s naglaskom na mentalno zdravlje, povećanje broja korisnika Savjetovališta za mentalno zdravlje, suradnja s drugim ustanovama, udrugama i organizacijama, borba protiv zlouporabe droga, pružanje usluga kliničke mikrobiologije s ciljem kvalitetne dijagnostike u smislu otkrivanja uzročnika infekcija, povećanje broja analiza zdravstvene ispravnosti predmeta opće uporabe, sirovina, namirnica, vode za piće i vode za rekreaciju, uvođenje novih te unaprjeđenje i poboljšanje postojećih akreditiranih metoda ispitivanja.</w:t>
      </w:r>
    </w:p>
    <w:p w14:paraId="46093D9E" w14:textId="77777777" w:rsidR="00675EED" w:rsidRDefault="00675EED">
      <w:pPr>
        <w:pStyle w:val="Tijeloteksta"/>
        <w:spacing w:before="8" w:after="1"/>
        <w:rPr>
          <w:b/>
          <w:sz w:val="10"/>
        </w:rPr>
      </w:pPr>
    </w:p>
    <w:p w14:paraId="5FB8C64A" w14:textId="77777777" w:rsidR="00E21292" w:rsidRDefault="00E21292" w:rsidP="00B34097">
      <w:pPr>
        <w:pStyle w:val="Tijeloteksta"/>
        <w:spacing w:before="2"/>
        <w:ind w:left="1440" w:right="1429"/>
        <w:jc w:val="both"/>
      </w:pPr>
    </w:p>
    <w:p w14:paraId="22E78CFF" w14:textId="77777777" w:rsidR="00002445" w:rsidRDefault="00002445" w:rsidP="00B34097">
      <w:pPr>
        <w:pStyle w:val="Tijeloteksta"/>
        <w:spacing w:before="2"/>
        <w:ind w:left="1440" w:right="1429"/>
        <w:jc w:val="both"/>
      </w:pPr>
    </w:p>
    <w:p w14:paraId="0AA53DDB" w14:textId="77777777" w:rsidR="00675EED" w:rsidRDefault="002515F0" w:rsidP="000E1D96">
      <w:pPr>
        <w:tabs>
          <w:tab w:val="left" w:pos="2010"/>
        </w:tabs>
        <w:ind w:left="1440" w:right="1259"/>
        <w:rPr>
          <w:b/>
          <w:sz w:val="24"/>
        </w:rPr>
      </w:pPr>
      <w:r>
        <w:rPr>
          <w:b/>
          <w:sz w:val="24"/>
        </w:rPr>
        <w:t>A2512-01 Administracija i upravljanje</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36"/>
        <w:gridCol w:w="1370"/>
        <w:gridCol w:w="1678"/>
        <w:gridCol w:w="1415"/>
        <w:gridCol w:w="1633"/>
        <w:gridCol w:w="1469"/>
      </w:tblGrid>
      <w:tr w:rsidR="00777CDE" w:rsidRPr="00C55C21" w14:paraId="629A1FC7" w14:textId="77777777" w:rsidTr="00777CDE">
        <w:trPr>
          <w:trHeight w:val="737"/>
          <w:jc w:val="center"/>
        </w:trPr>
        <w:tc>
          <w:tcPr>
            <w:tcW w:w="1258" w:type="dxa"/>
            <w:shd w:val="clear" w:color="auto" w:fill="D9D9D9"/>
          </w:tcPr>
          <w:p w14:paraId="4A80C180" w14:textId="79459903" w:rsidR="00777CDE" w:rsidRPr="00C55C21" w:rsidRDefault="00777CDE" w:rsidP="00777CDE">
            <w:pPr>
              <w:pStyle w:val="Tijeloteksta"/>
              <w:rPr>
                <w:b/>
                <w:sz w:val="20"/>
              </w:rPr>
            </w:pPr>
            <w:r>
              <w:t>Djelatnost ustanove</w:t>
            </w:r>
            <w:r>
              <w:tab/>
            </w:r>
            <w:r>
              <w:rPr>
                <w:spacing w:val="-17"/>
              </w:rPr>
              <w:t xml:space="preserve">u </w:t>
            </w:r>
            <w:r>
              <w:t>zdravstvu</w:t>
            </w:r>
          </w:p>
        </w:tc>
        <w:tc>
          <w:tcPr>
            <w:tcW w:w="1436" w:type="dxa"/>
            <w:shd w:val="clear" w:color="auto" w:fill="D9D9D9"/>
          </w:tcPr>
          <w:p w14:paraId="488C36A6" w14:textId="2CD82BE4" w:rsidR="00777CDE" w:rsidRPr="00C55C21" w:rsidRDefault="00777CDE" w:rsidP="00777CDE">
            <w:pPr>
              <w:pStyle w:val="Tijeloteksta"/>
              <w:rPr>
                <w:b/>
                <w:sz w:val="20"/>
              </w:rPr>
            </w:pPr>
            <w:r>
              <w:t>Izvršenje financijskog plana 01.01.2024.-30.06.2024.</w:t>
            </w:r>
          </w:p>
        </w:tc>
        <w:tc>
          <w:tcPr>
            <w:tcW w:w="1370" w:type="dxa"/>
            <w:shd w:val="clear" w:color="auto" w:fill="D9D9D9"/>
          </w:tcPr>
          <w:p w14:paraId="46194E67" w14:textId="56464012" w:rsidR="00777CDE" w:rsidRPr="00C55C21" w:rsidRDefault="00777CDE" w:rsidP="00777CDE">
            <w:pPr>
              <w:pStyle w:val="Tijeloteksta"/>
              <w:rPr>
                <w:b/>
                <w:sz w:val="20"/>
              </w:rPr>
            </w:pPr>
            <w:r>
              <w:t>Financijski plan 2025. godine</w:t>
            </w:r>
          </w:p>
        </w:tc>
        <w:tc>
          <w:tcPr>
            <w:tcW w:w="1678" w:type="dxa"/>
            <w:shd w:val="clear" w:color="auto" w:fill="D9D9D9"/>
          </w:tcPr>
          <w:p w14:paraId="53E1A5ED" w14:textId="1AD46130" w:rsidR="00777CDE" w:rsidRPr="00C55C21" w:rsidRDefault="00777CDE" w:rsidP="00777CDE">
            <w:pPr>
              <w:pStyle w:val="Tijeloteksta"/>
              <w:rPr>
                <w:b/>
                <w:sz w:val="20"/>
              </w:rPr>
            </w:pPr>
            <w:r>
              <w:t>Financijski plana 2025. – 1. rebalans</w:t>
            </w:r>
          </w:p>
        </w:tc>
        <w:tc>
          <w:tcPr>
            <w:tcW w:w="1415" w:type="dxa"/>
            <w:shd w:val="clear" w:color="auto" w:fill="D9D9D9"/>
          </w:tcPr>
          <w:p w14:paraId="12A74D24" w14:textId="2048A390" w:rsidR="00777CDE" w:rsidRPr="00C55C21" w:rsidRDefault="00777CDE" w:rsidP="00777CDE">
            <w:pPr>
              <w:pStyle w:val="Tijeloteksta"/>
              <w:rPr>
                <w:b/>
                <w:sz w:val="20"/>
              </w:rPr>
            </w:pPr>
            <w:r>
              <w:t>Izvršenje financijskog plana 01.01.2025. – 30.06.2025.</w:t>
            </w:r>
          </w:p>
        </w:tc>
        <w:tc>
          <w:tcPr>
            <w:tcW w:w="1633" w:type="dxa"/>
            <w:shd w:val="clear" w:color="auto" w:fill="D9D9D9"/>
          </w:tcPr>
          <w:p w14:paraId="374721F7" w14:textId="24BE4F17" w:rsidR="00777CDE" w:rsidRPr="00C55C21" w:rsidRDefault="00777CDE" w:rsidP="00777CDE">
            <w:pPr>
              <w:pStyle w:val="Tijeloteksta"/>
              <w:rPr>
                <w:b/>
                <w:sz w:val="20"/>
              </w:rPr>
            </w:pPr>
            <w:r>
              <w:t>Izvršenje u odnosu na 2024.g.</w:t>
            </w:r>
          </w:p>
        </w:tc>
        <w:tc>
          <w:tcPr>
            <w:tcW w:w="1469" w:type="dxa"/>
            <w:shd w:val="clear" w:color="auto" w:fill="D9D9D9"/>
          </w:tcPr>
          <w:p w14:paraId="33ECE7AB" w14:textId="77777777" w:rsidR="00777CDE" w:rsidRDefault="00777CDE" w:rsidP="00777CDE">
            <w:r>
              <w:t xml:space="preserve">Izvršenje u odnosu na </w:t>
            </w:r>
            <w:proofErr w:type="spellStart"/>
            <w:r>
              <w:t>fin.plan</w:t>
            </w:r>
            <w:proofErr w:type="spellEnd"/>
            <w:r>
              <w:t xml:space="preserve"> za 2025.g. (1. rebalans)</w:t>
            </w:r>
          </w:p>
          <w:p w14:paraId="69C5C16B" w14:textId="77777777" w:rsidR="00777CDE" w:rsidRPr="00C55C21" w:rsidRDefault="00777CDE" w:rsidP="00777CDE">
            <w:pPr>
              <w:pStyle w:val="Tijeloteksta"/>
              <w:rPr>
                <w:b/>
                <w:sz w:val="20"/>
              </w:rPr>
            </w:pPr>
          </w:p>
        </w:tc>
      </w:tr>
      <w:tr w:rsidR="00C55C21" w:rsidRPr="00C55C21" w14:paraId="73729CFB" w14:textId="77777777" w:rsidTr="00777CDE">
        <w:trPr>
          <w:trHeight w:val="737"/>
          <w:jc w:val="center"/>
        </w:trPr>
        <w:tc>
          <w:tcPr>
            <w:tcW w:w="1258" w:type="dxa"/>
          </w:tcPr>
          <w:p w14:paraId="4DC20370" w14:textId="77777777" w:rsidR="00C55C21" w:rsidRPr="00C55C21" w:rsidRDefault="00C55C21" w:rsidP="00C55C21">
            <w:pPr>
              <w:pStyle w:val="Tijeloteksta"/>
              <w:rPr>
                <w:b/>
                <w:sz w:val="20"/>
              </w:rPr>
            </w:pPr>
            <w:r w:rsidRPr="00C55C21">
              <w:rPr>
                <w:b/>
                <w:sz w:val="20"/>
              </w:rPr>
              <w:t>Šifra programa</w:t>
            </w:r>
          </w:p>
          <w:p w14:paraId="270AB9FA" w14:textId="3826CA55" w:rsidR="00C55C21" w:rsidRPr="00C55C21" w:rsidRDefault="00C55C21" w:rsidP="00C55C21">
            <w:pPr>
              <w:pStyle w:val="Tijeloteksta"/>
              <w:rPr>
                <w:b/>
                <w:sz w:val="20"/>
              </w:rPr>
            </w:pPr>
            <w:r>
              <w:rPr>
                <w:b/>
                <w:sz w:val="20"/>
              </w:rPr>
              <w:t>A-</w:t>
            </w:r>
            <w:r w:rsidRPr="00C55C21">
              <w:rPr>
                <w:b/>
                <w:sz w:val="20"/>
              </w:rPr>
              <w:t>2512</w:t>
            </w:r>
            <w:r>
              <w:rPr>
                <w:b/>
                <w:sz w:val="20"/>
              </w:rPr>
              <w:t>-01</w:t>
            </w:r>
          </w:p>
        </w:tc>
        <w:tc>
          <w:tcPr>
            <w:tcW w:w="1436" w:type="dxa"/>
          </w:tcPr>
          <w:p w14:paraId="618D80F0" w14:textId="7807FFEA" w:rsidR="00C55C21" w:rsidRPr="00C55C21" w:rsidRDefault="00574627" w:rsidP="00C55C21">
            <w:pPr>
              <w:pStyle w:val="Tijeloteksta"/>
              <w:rPr>
                <w:b/>
                <w:sz w:val="20"/>
              </w:rPr>
            </w:pPr>
            <w:r w:rsidRPr="00574627">
              <w:rPr>
                <w:b/>
                <w:sz w:val="20"/>
              </w:rPr>
              <w:t>3.300.925,14</w:t>
            </w:r>
          </w:p>
        </w:tc>
        <w:tc>
          <w:tcPr>
            <w:tcW w:w="1370" w:type="dxa"/>
          </w:tcPr>
          <w:p w14:paraId="0C985E38" w14:textId="199CCD64" w:rsidR="00C55C21" w:rsidRPr="00C55C21" w:rsidRDefault="00574627" w:rsidP="00C55C21">
            <w:pPr>
              <w:pStyle w:val="Tijeloteksta"/>
              <w:rPr>
                <w:b/>
                <w:sz w:val="20"/>
              </w:rPr>
            </w:pPr>
            <w:r>
              <w:rPr>
                <w:b/>
                <w:sz w:val="20"/>
              </w:rPr>
              <w:t>6.578.453,19</w:t>
            </w:r>
          </w:p>
        </w:tc>
        <w:tc>
          <w:tcPr>
            <w:tcW w:w="1678" w:type="dxa"/>
          </w:tcPr>
          <w:p w14:paraId="4C633474" w14:textId="2F803551" w:rsidR="00C55C21" w:rsidRPr="00C55C21" w:rsidRDefault="00574627" w:rsidP="00C55C21">
            <w:pPr>
              <w:pStyle w:val="Tijeloteksta"/>
              <w:rPr>
                <w:b/>
                <w:sz w:val="20"/>
              </w:rPr>
            </w:pPr>
            <w:r>
              <w:rPr>
                <w:b/>
                <w:sz w:val="20"/>
              </w:rPr>
              <w:t>7.255.533,94</w:t>
            </w:r>
          </w:p>
        </w:tc>
        <w:tc>
          <w:tcPr>
            <w:tcW w:w="1415" w:type="dxa"/>
          </w:tcPr>
          <w:p w14:paraId="14E02321" w14:textId="648A42E9" w:rsidR="00C55C21" w:rsidRPr="00C55C21" w:rsidRDefault="00574627" w:rsidP="00C55C21">
            <w:pPr>
              <w:pStyle w:val="Tijeloteksta"/>
              <w:rPr>
                <w:b/>
                <w:sz w:val="20"/>
              </w:rPr>
            </w:pPr>
            <w:r>
              <w:rPr>
                <w:b/>
                <w:sz w:val="20"/>
              </w:rPr>
              <w:t>3.478.803,55</w:t>
            </w:r>
          </w:p>
        </w:tc>
        <w:tc>
          <w:tcPr>
            <w:tcW w:w="1633" w:type="dxa"/>
          </w:tcPr>
          <w:p w14:paraId="75B06C6C" w14:textId="2735C05C" w:rsidR="00C55C21" w:rsidRPr="00C55C21" w:rsidRDefault="00574627" w:rsidP="00C55C21">
            <w:pPr>
              <w:pStyle w:val="Tijeloteksta"/>
              <w:rPr>
                <w:b/>
                <w:sz w:val="20"/>
              </w:rPr>
            </w:pPr>
            <w:r>
              <w:rPr>
                <w:b/>
                <w:sz w:val="20"/>
              </w:rPr>
              <w:t>105,39</w:t>
            </w:r>
          </w:p>
        </w:tc>
        <w:tc>
          <w:tcPr>
            <w:tcW w:w="1469" w:type="dxa"/>
          </w:tcPr>
          <w:p w14:paraId="01F01C19" w14:textId="5421497C" w:rsidR="00C55C21" w:rsidRPr="00C55C21" w:rsidRDefault="00574627" w:rsidP="00C55C21">
            <w:pPr>
              <w:pStyle w:val="Tijeloteksta"/>
              <w:rPr>
                <w:b/>
                <w:sz w:val="20"/>
              </w:rPr>
            </w:pPr>
            <w:r>
              <w:rPr>
                <w:b/>
                <w:sz w:val="20"/>
              </w:rPr>
              <w:t>47,95</w:t>
            </w:r>
          </w:p>
        </w:tc>
      </w:tr>
    </w:tbl>
    <w:p w14:paraId="6CD8611F" w14:textId="550A0AB4" w:rsidR="00466A77" w:rsidRDefault="00466A77" w:rsidP="00466A77">
      <w:pPr>
        <w:pStyle w:val="Tijeloteksta"/>
        <w:spacing w:before="90"/>
        <w:ind w:left="1440" w:right="1435"/>
        <w:jc w:val="both"/>
      </w:pPr>
      <w:r>
        <w:t>A2512-01 - kroz ovaj program uključeni su troškovi redovnog rada Zavoda za javno zdravstvo Zadar, a koji se odnose na rashode za zaposlene, materijalne rashode i financijske rashode. Na obračun plaće primjenjuje se propisana osnovica od prema važećim koefi</w:t>
      </w:r>
      <w:r w:rsidR="00B647BC">
        <w:t>cijentima za pojedina položaja</w:t>
      </w:r>
      <w:r>
        <w:t xml:space="preserve"> i radna mjesta</w:t>
      </w:r>
      <w:r w:rsidR="006445C1">
        <w:t>.</w:t>
      </w:r>
    </w:p>
    <w:p w14:paraId="4412D8CC" w14:textId="77777777" w:rsidR="00466A77" w:rsidRDefault="00466A77" w:rsidP="00466A77">
      <w:pPr>
        <w:pStyle w:val="Tijeloteksta"/>
        <w:spacing w:before="90"/>
        <w:ind w:left="1440" w:right="1435"/>
        <w:jc w:val="both"/>
      </w:pPr>
      <w:r>
        <w:t>Kolektivnim ugovorima kojima su regulirana materijalna prava radnika utvrđena su prava na prigodne godišnje nagrade, otpremnine za mirovinu, jubilarne nagrade, te solidarne pomoći.</w:t>
      </w:r>
    </w:p>
    <w:p w14:paraId="7E5980CE" w14:textId="6B8F19E7" w:rsidR="00026EE1" w:rsidRDefault="00B647BC" w:rsidP="00042F82">
      <w:pPr>
        <w:pStyle w:val="Tijeloteksta"/>
        <w:spacing w:before="90"/>
        <w:ind w:left="1440" w:right="1435"/>
        <w:jc w:val="both"/>
        <w:rPr>
          <w:color w:val="000000" w:themeColor="text1"/>
        </w:rPr>
      </w:pPr>
      <w:r>
        <w:rPr>
          <w:color w:val="000000" w:themeColor="text1"/>
        </w:rPr>
        <w:t>Izvršenje u 2025</w:t>
      </w:r>
      <w:r w:rsidR="00C04AE9" w:rsidRPr="00C04AE9">
        <w:rPr>
          <w:color w:val="000000" w:themeColor="text1"/>
        </w:rPr>
        <w:t xml:space="preserve">. godini je </w:t>
      </w:r>
      <w:r>
        <w:rPr>
          <w:color w:val="000000" w:themeColor="text1"/>
        </w:rPr>
        <w:t xml:space="preserve">za 5,39 % </w:t>
      </w:r>
      <w:r w:rsidR="00C04AE9" w:rsidRPr="00C04AE9">
        <w:rPr>
          <w:color w:val="000000" w:themeColor="text1"/>
        </w:rPr>
        <w:t>veće u odnosu na izvršenje u 202</w:t>
      </w:r>
      <w:r>
        <w:rPr>
          <w:color w:val="000000" w:themeColor="text1"/>
        </w:rPr>
        <w:t>4</w:t>
      </w:r>
      <w:r w:rsidR="00B85079">
        <w:rPr>
          <w:color w:val="000000" w:themeColor="text1"/>
        </w:rPr>
        <w:t xml:space="preserve">. godini, a na što je </w:t>
      </w:r>
      <w:r w:rsidR="00B85079">
        <w:rPr>
          <w:color w:val="000000" w:themeColor="text1"/>
        </w:rPr>
        <w:lastRenderedPageBreak/>
        <w:t xml:space="preserve">utjecalo povećanje rashoda </w:t>
      </w:r>
      <w:r w:rsidR="00C04AE9" w:rsidRPr="00C04AE9">
        <w:rPr>
          <w:color w:val="000000" w:themeColor="text1"/>
        </w:rPr>
        <w:t>za zaposlene u odnosu na iste u izvještajnom razdoblju prošle godine. Na povećanje pojedinačne plaće je utjecala Uredba o nazivima radnih mjesta i koeficijentima složenosti poslova u javnim službama – zadnje  „Nar. nov.“ br. 46,23, 104/23 i 155/23, zatim  Odluka kojom se uređuje isplata privremenog dodatka na plaću državnim službenicima i namještenicima te službenicima i namještenicima u javnim službama („Nar. nov.“ br. 65/2023) i Uredba o nazivima radnih mjesta, uvjetima za raspored i koeficijentima za obračun u javnim službama („Nar. nov.“ br. 22/2024) i Temeljni kolektivni ugovor za zaposlenike u javnim službama 29/2024</w:t>
      </w:r>
      <w:r w:rsidR="00C04AE9">
        <w:rPr>
          <w:color w:val="000000" w:themeColor="text1"/>
        </w:rPr>
        <w:t>.</w:t>
      </w:r>
      <w:r w:rsidR="00B85079">
        <w:rPr>
          <w:color w:val="000000" w:themeColor="text1"/>
        </w:rPr>
        <w:t xml:space="preserve"> od 01.03.2024.g., te povećanje materijalnih rashoda u ovisnost</w:t>
      </w:r>
      <w:r w:rsidR="00FA47DE">
        <w:rPr>
          <w:color w:val="000000" w:themeColor="text1"/>
        </w:rPr>
        <w:t>i o povećanju cijena na tržištu.</w:t>
      </w:r>
    </w:p>
    <w:p w14:paraId="2818E6DC" w14:textId="77777777" w:rsidR="00002445" w:rsidRDefault="00002445">
      <w:pPr>
        <w:pStyle w:val="Naslov1"/>
        <w:spacing w:before="222"/>
      </w:pPr>
    </w:p>
    <w:p w14:paraId="3907F8C8" w14:textId="77777777" w:rsidR="00675EED" w:rsidRDefault="002515F0">
      <w:pPr>
        <w:pStyle w:val="Naslov1"/>
        <w:spacing w:before="222"/>
      </w:pPr>
      <w:r>
        <w:t>A2512-02 Investicijsko i tekuće održavanje</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36"/>
        <w:gridCol w:w="1370"/>
        <w:gridCol w:w="1678"/>
        <w:gridCol w:w="1774"/>
        <w:gridCol w:w="1274"/>
        <w:gridCol w:w="1469"/>
      </w:tblGrid>
      <w:tr w:rsidR="00FA47DE" w:rsidRPr="00C55C21" w14:paraId="012980CC" w14:textId="77777777" w:rsidTr="00FA47DE">
        <w:trPr>
          <w:trHeight w:val="737"/>
          <w:jc w:val="center"/>
        </w:trPr>
        <w:tc>
          <w:tcPr>
            <w:tcW w:w="1258" w:type="dxa"/>
            <w:shd w:val="clear" w:color="auto" w:fill="D9D9D9"/>
          </w:tcPr>
          <w:p w14:paraId="58383B04" w14:textId="62831868" w:rsidR="00FA47DE" w:rsidRPr="00C55C21" w:rsidRDefault="00FA47DE" w:rsidP="00FA47DE">
            <w:pPr>
              <w:pStyle w:val="Tijeloteksta"/>
              <w:rPr>
                <w:b/>
                <w:sz w:val="20"/>
              </w:rPr>
            </w:pPr>
            <w:r>
              <w:t>Djelatnost ustanove</w:t>
            </w:r>
            <w:r>
              <w:tab/>
            </w:r>
            <w:r>
              <w:rPr>
                <w:spacing w:val="-17"/>
              </w:rPr>
              <w:t xml:space="preserve">u </w:t>
            </w:r>
            <w:r>
              <w:t>zdravstvu</w:t>
            </w:r>
          </w:p>
        </w:tc>
        <w:tc>
          <w:tcPr>
            <w:tcW w:w="1436" w:type="dxa"/>
            <w:shd w:val="clear" w:color="auto" w:fill="D9D9D9"/>
          </w:tcPr>
          <w:p w14:paraId="003CE8BD" w14:textId="375C47A4" w:rsidR="00FA47DE" w:rsidRPr="00C55C21" w:rsidRDefault="00FA47DE" w:rsidP="00FA47DE">
            <w:pPr>
              <w:pStyle w:val="Tijeloteksta"/>
              <w:rPr>
                <w:b/>
                <w:sz w:val="20"/>
              </w:rPr>
            </w:pPr>
            <w:r>
              <w:t>Izvršenje financijskog plana 01.01.2024.-30.06.2024.</w:t>
            </w:r>
          </w:p>
        </w:tc>
        <w:tc>
          <w:tcPr>
            <w:tcW w:w="1370" w:type="dxa"/>
            <w:shd w:val="clear" w:color="auto" w:fill="D9D9D9"/>
          </w:tcPr>
          <w:p w14:paraId="3BB95DCC" w14:textId="14F0877F" w:rsidR="00FA47DE" w:rsidRPr="00C55C21" w:rsidRDefault="00FA47DE" w:rsidP="00FA47DE">
            <w:pPr>
              <w:pStyle w:val="Tijeloteksta"/>
              <w:rPr>
                <w:b/>
                <w:sz w:val="20"/>
              </w:rPr>
            </w:pPr>
            <w:r>
              <w:t>Financijski plan 2025. godine</w:t>
            </w:r>
          </w:p>
        </w:tc>
        <w:tc>
          <w:tcPr>
            <w:tcW w:w="1678" w:type="dxa"/>
            <w:shd w:val="clear" w:color="auto" w:fill="D9D9D9"/>
          </w:tcPr>
          <w:p w14:paraId="51502B5C" w14:textId="6B312CD7" w:rsidR="00FA47DE" w:rsidRPr="00C55C21" w:rsidRDefault="00FA47DE" w:rsidP="00FA47DE">
            <w:pPr>
              <w:pStyle w:val="Tijeloteksta"/>
              <w:rPr>
                <w:b/>
                <w:sz w:val="20"/>
              </w:rPr>
            </w:pPr>
            <w:r>
              <w:t>Financijski plana 2025. – 1. rebalans</w:t>
            </w:r>
          </w:p>
        </w:tc>
        <w:tc>
          <w:tcPr>
            <w:tcW w:w="1774" w:type="dxa"/>
            <w:shd w:val="clear" w:color="auto" w:fill="D9D9D9"/>
          </w:tcPr>
          <w:p w14:paraId="0B9C3EE5" w14:textId="79136D4B" w:rsidR="00FA47DE" w:rsidRPr="00C55C21" w:rsidRDefault="00FA47DE" w:rsidP="00FA47DE">
            <w:pPr>
              <w:pStyle w:val="Tijeloteksta"/>
              <w:rPr>
                <w:b/>
                <w:sz w:val="20"/>
              </w:rPr>
            </w:pPr>
            <w:r>
              <w:t>Izvršenje financijskog plana 01.01.2025. – 30.06.2025.</w:t>
            </w:r>
          </w:p>
        </w:tc>
        <w:tc>
          <w:tcPr>
            <w:tcW w:w="1274" w:type="dxa"/>
            <w:shd w:val="clear" w:color="auto" w:fill="D9D9D9"/>
          </w:tcPr>
          <w:p w14:paraId="04257BD6" w14:textId="4391CF88" w:rsidR="00FA47DE" w:rsidRPr="00C55C21" w:rsidRDefault="00FA47DE" w:rsidP="00FA47DE">
            <w:pPr>
              <w:pStyle w:val="Tijeloteksta"/>
              <w:rPr>
                <w:b/>
                <w:sz w:val="20"/>
              </w:rPr>
            </w:pPr>
            <w:r>
              <w:t>Izvršenje u odnosu na 2024.g.</w:t>
            </w:r>
          </w:p>
        </w:tc>
        <w:tc>
          <w:tcPr>
            <w:tcW w:w="1469" w:type="dxa"/>
            <w:shd w:val="clear" w:color="auto" w:fill="D9D9D9"/>
          </w:tcPr>
          <w:p w14:paraId="4BD36CBF" w14:textId="77777777" w:rsidR="00FA47DE" w:rsidRDefault="00FA47DE" w:rsidP="00FA47DE">
            <w:r>
              <w:t xml:space="preserve">Izvršenje u odnosu na </w:t>
            </w:r>
            <w:proofErr w:type="spellStart"/>
            <w:r>
              <w:t>fin.plan</w:t>
            </w:r>
            <w:proofErr w:type="spellEnd"/>
            <w:r>
              <w:t xml:space="preserve"> za 2025.g. (1. rebalans)</w:t>
            </w:r>
          </w:p>
          <w:p w14:paraId="50CDC5C9" w14:textId="77777777" w:rsidR="00FA47DE" w:rsidRPr="00C55C21" w:rsidRDefault="00FA47DE" w:rsidP="00FA47DE">
            <w:pPr>
              <w:pStyle w:val="Tijeloteksta"/>
              <w:rPr>
                <w:b/>
                <w:sz w:val="20"/>
              </w:rPr>
            </w:pPr>
          </w:p>
        </w:tc>
      </w:tr>
      <w:tr w:rsidR="00641EF1" w:rsidRPr="00C55C21" w14:paraId="03F4DC0D" w14:textId="77777777" w:rsidTr="00FA47DE">
        <w:trPr>
          <w:trHeight w:val="737"/>
          <w:jc w:val="center"/>
        </w:trPr>
        <w:tc>
          <w:tcPr>
            <w:tcW w:w="1258" w:type="dxa"/>
          </w:tcPr>
          <w:p w14:paraId="303EBE3E" w14:textId="77777777" w:rsidR="00641EF1" w:rsidRPr="00C55C21" w:rsidRDefault="00641EF1" w:rsidP="004D5306">
            <w:pPr>
              <w:pStyle w:val="Tijeloteksta"/>
              <w:rPr>
                <w:b/>
                <w:sz w:val="20"/>
              </w:rPr>
            </w:pPr>
            <w:r w:rsidRPr="00C55C21">
              <w:rPr>
                <w:b/>
                <w:sz w:val="20"/>
              </w:rPr>
              <w:t>Šifra programa</w:t>
            </w:r>
          </w:p>
          <w:p w14:paraId="721529D6" w14:textId="295876EC" w:rsidR="00641EF1" w:rsidRPr="00C55C21" w:rsidRDefault="00641EF1" w:rsidP="00641EF1">
            <w:pPr>
              <w:pStyle w:val="Tijeloteksta"/>
              <w:rPr>
                <w:b/>
                <w:sz w:val="20"/>
              </w:rPr>
            </w:pPr>
            <w:r>
              <w:rPr>
                <w:b/>
                <w:sz w:val="20"/>
              </w:rPr>
              <w:t>A-</w:t>
            </w:r>
            <w:r w:rsidRPr="00C55C21">
              <w:rPr>
                <w:b/>
                <w:sz w:val="20"/>
              </w:rPr>
              <w:t>2512</w:t>
            </w:r>
            <w:r>
              <w:rPr>
                <w:b/>
                <w:sz w:val="20"/>
              </w:rPr>
              <w:t>-02</w:t>
            </w:r>
          </w:p>
        </w:tc>
        <w:tc>
          <w:tcPr>
            <w:tcW w:w="1436" w:type="dxa"/>
          </w:tcPr>
          <w:p w14:paraId="30F2EFDD" w14:textId="2D2278AF" w:rsidR="00641EF1" w:rsidRPr="00C55C21" w:rsidRDefault="001D4313" w:rsidP="004D5306">
            <w:pPr>
              <w:pStyle w:val="Tijeloteksta"/>
              <w:rPr>
                <w:b/>
                <w:sz w:val="20"/>
              </w:rPr>
            </w:pPr>
            <w:r>
              <w:rPr>
                <w:b/>
                <w:sz w:val="20"/>
              </w:rPr>
              <w:t>70.336,09</w:t>
            </w:r>
          </w:p>
        </w:tc>
        <w:tc>
          <w:tcPr>
            <w:tcW w:w="1370" w:type="dxa"/>
          </w:tcPr>
          <w:p w14:paraId="72E8CFEB" w14:textId="1E7C9DDB" w:rsidR="00641EF1" w:rsidRPr="00C55C21" w:rsidRDefault="001D4313" w:rsidP="004D5306">
            <w:pPr>
              <w:pStyle w:val="Tijeloteksta"/>
              <w:rPr>
                <w:b/>
                <w:sz w:val="20"/>
              </w:rPr>
            </w:pPr>
            <w:r>
              <w:rPr>
                <w:b/>
                <w:sz w:val="20"/>
              </w:rPr>
              <w:t>108.000,00</w:t>
            </w:r>
          </w:p>
        </w:tc>
        <w:tc>
          <w:tcPr>
            <w:tcW w:w="1678" w:type="dxa"/>
          </w:tcPr>
          <w:p w14:paraId="687D5405" w14:textId="2DC08A97" w:rsidR="00641EF1" w:rsidRPr="00C55C21" w:rsidRDefault="001D4313" w:rsidP="004D5306">
            <w:pPr>
              <w:pStyle w:val="Tijeloteksta"/>
              <w:rPr>
                <w:b/>
                <w:sz w:val="20"/>
              </w:rPr>
            </w:pPr>
            <w:r>
              <w:rPr>
                <w:b/>
                <w:sz w:val="20"/>
              </w:rPr>
              <w:t>108.000,00</w:t>
            </w:r>
          </w:p>
        </w:tc>
        <w:tc>
          <w:tcPr>
            <w:tcW w:w="1774" w:type="dxa"/>
          </w:tcPr>
          <w:p w14:paraId="2B0D2227" w14:textId="4E9186E4" w:rsidR="00641EF1" w:rsidRPr="00C55C21" w:rsidRDefault="001D4313" w:rsidP="004D5306">
            <w:pPr>
              <w:pStyle w:val="Tijeloteksta"/>
              <w:rPr>
                <w:b/>
                <w:sz w:val="20"/>
              </w:rPr>
            </w:pPr>
            <w:r>
              <w:rPr>
                <w:b/>
                <w:sz w:val="20"/>
              </w:rPr>
              <w:t>84.367,25</w:t>
            </w:r>
          </w:p>
        </w:tc>
        <w:tc>
          <w:tcPr>
            <w:tcW w:w="1274" w:type="dxa"/>
          </w:tcPr>
          <w:p w14:paraId="31E3FFF2" w14:textId="3FF0AFF8" w:rsidR="00641EF1" w:rsidRPr="00C55C21" w:rsidRDefault="001D4313" w:rsidP="004D5306">
            <w:pPr>
              <w:pStyle w:val="Tijeloteksta"/>
              <w:rPr>
                <w:b/>
                <w:sz w:val="20"/>
              </w:rPr>
            </w:pPr>
            <w:r>
              <w:rPr>
                <w:b/>
                <w:sz w:val="20"/>
              </w:rPr>
              <w:t>119,95</w:t>
            </w:r>
          </w:p>
        </w:tc>
        <w:tc>
          <w:tcPr>
            <w:tcW w:w="1469" w:type="dxa"/>
          </w:tcPr>
          <w:p w14:paraId="12DEAF39" w14:textId="0F9BA074" w:rsidR="00641EF1" w:rsidRPr="00C55C21" w:rsidRDefault="001D4313" w:rsidP="004D5306">
            <w:pPr>
              <w:pStyle w:val="Tijeloteksta"/>
              <w:rPr>
                <w:b/>
                <w:sz w:val="20"/>
              </w:rPr>
            </w:pPr>
            <w:r>
              <w:rPr>
                <w:b/>
                <w:sz w:val="20"/>
              </w:rPr>
              <w:t>78,12</w:t>
            </w:r>
          </w:p>
        </w:tc>
      </w:tr>
    </w:tbl>
    <w:p w14:paraId="01DFE51B" w14:textId="77777777" w:rsidR="00675EED" w:rsidRDefault="00675EED">
      <w:pPr>
        <w:pStyle w:val="Tijeloteksta"/>
        <w:spacing w:before="8"/>
        <w:rPr>
          <w:b/>
          <w:sz w:val="10"/>
        </w:rPr>
      </w:pPr>
    </w:p>
    <w:p w14:paraId="1117756C" w14:textId="62C1C3E8" w:rsidR="009E4B86" w:rsidRDefault="00591B43" w:rsidP="0044504B">
      <w:pPr>
        <w:pStyle w:val="Tijeloteksta"/>
        <w:ind w:left="1440" w:right="1259"/>
        <w:jc w:val="both"/>
      </w:pPr>
      <w:r>
        <w:t>U</w:t>
      </w:r>
      <w:r w:rsidRPr="00591B43">
        <w:t>sluge tekuć</w:t>
      </w:r>
      <w:r>
        <w:t>eg i investicijskog održavanja</w:t>
      </w:r>
      <w:r w:rsidRPr="00591B43">
        <w:t xml:space="preserve"> iznose 84.367,25 eura i već</w:t>
      </w:r>
      <w:r>
        <w:t>e</w:t>
      </w:r>
      <w:r w:rsidR="005D3CA9">
        <w:t xml:space="preserve"> su za 19,9% u odnosu na prošlogodišnje izvještajno razdoblje, </w:t>
      </w:r>
      <w:r w:rsidRPr="00591B43">
        <w:t>budući je Zavod u 1. kvartalu</w:t>
      </w:r>
      <w:r w:rsidR="005D3CA9">
        <w:t xml:space="preserve"> ove godine</w:t>
      </w:r>
      <w:r w:rsidRPr="00591B43">
        <w:t xml:space="preserve"> imao trošak usluge nadogradnje i stavljanja u funkciju sustava video nadzora u iznosu od 8.494,09 eura, te trošak servisa brodice u vlasništvu Zavoda u iznosu od 3.329,50 eura, te zamjena neispravnih </w:t>
      </w:r>
      <w:proofErr w:type="spellStart"/>
      <w:r w:rsidRPr="00591B43">
        <w:t>oduzimnih</w:t>
      </w:r>
      <w:proofErr w:type="spellEnd"/>
      <w:r w:rsidRPr="00591B43">
        <w:t xml:space="preserve"> mjesta helija i sintetskog zraka u iznosu od 5.170,00 eura. U ovom izvještajnom razdoblju je Zavod imao veće troškove popravka i održavanja dizala u zgradi Zavoda, naime - utvrđeno je napuknuće nosive čelične užadi za dizalo D6, koje su zamijenjene, te je trošak popravka iznosio 4.850,00 eura,</w:t>
      </w:r>
    </w:p>
    <w:p w14:paraId="4ED91116" w14:textId="77777777" w:rsidR="00F03BDA" w:rsidRDefault="00F03BDA" w:rsidP="0044504B">
      <w:pPr>
        <w:pStyle w:val="Tijeloteksta"/>
        <w:ind w:left="1440" w:right="1259"/>
        <w:jc w:val="both"/>
      </w:pPr>
    </w:p>
    <w:p w14:paraId="3A6144DD" w14:textId="77777777" w:rsidR="00002445" w:rsidRDefault="00002445" w:rsidP="00031227">
      <w:pPr>
        <w:pStyle w:val="Tijeloteksta"/>
        <w:ind w:left="1440" w:right="1259"/>
        <w:jc w:val="both"/>
        <w:rPr>
          <w:b/>
        </w:rPr>
      </w:pPr>
    </w:p>
    <w:p w14:paraId="1E9CE33B" w14:textId="77777777" w:rsidR="00031227" w:rsidRDefault="00031227" w:rsidP="00031227">
      <w:pPr>
        <w:pStyle w:val="Tijeloteksta"/>
        <w:ind w:left="1440" w:right="1259"/>
        <w:jc w:val="both"/>
        <w:rPr>
          <w:b/>
        </w:rPr>
      </w:pPr>
      <w:r w:rsidRPr="00053A0F">
        <w:rPr>
          <w:b/>
        </w:rPr>
        <w:t>Aktivnost: A2512-09 Zdravstvo – iznad standarda</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36"/>
        <w:gridCol w:w="1370"/>
        <w:gridCol w:w="1678"/>
        <w:gridCol w:w="1774"/>
        <w:gridCol w:w="1274"/>
        <w:gridCol w:w="1469"/>
      </w:tblGrid>
      <w:tr w:rsidR="00FA47DE" w:rsidRPr="00C55C21" w14:paraId="67DF04F6" w14:textId="77777777" w:rsidTr="00FA47DE">
        <w:trPr>
          <w:trHeight w:val="737"/>
          <w:jc w:val="center"/>
        </w:trPr>
        <w:tc>
          <w:tcPr>
            <w:tcW w:w="1258" w:type="dxa"/>
            <w:shd w:val="clear" w:color="auto" w:fill="D9D9D9"/>
          </w:tcPr>
          <w:p w14:paraId="0D605FAC" w14:textId="3A27F94F" w:rsidR="00FA47DE" w:rsidRPr="00C55C21" w:rsidRDefault="00FA47DE" w:rsidP="00FA47DE">
            <w:pPr>
              <w:pStyle w:val="Tijeloteksta"/>
              <w:rPr>
                <w:b/>
                <w:sz w:val="20"/>
              </w:rPr>
            </w:pPr>
            <w:r>
              <w:t>Djelatnost ustanove</w:t>
            </w:r>
            <w:r>
              <w:tab/>
            </w:r>
            <w:r>
              <w:rPr>
                <w:spacing w:val="-17"/>
              </w:rPr>
              <w:t xml:space="preserve">u </w:t>
            </w:r>
            <w:r>
              <w:t>zdravstvu</w:t>
            </w:r>
          </w:p>
        </w:tc>
        <w:tc>
          <w:tcPr>
            <w:tcW w:w="1436" w:type="dxa"/>
            <w:shd w:val="clear" w:color="auto" w:fill="D9D9D9"/>
          </w:tcPr>
          <w:p w14:paraId="4542F3F8" w14:textId="10AD4E18" w:rsidR="00FA47DE" w:rsidRPr="00C55C21" w:rsidRDefault="00FA47DE" w:rsidP="00FA47DE">
            <w:pPr>
              <w:pStyle w:val="Tijeloteksta"/>
              <w:rPr>
                <w:b/>
                <w:sz w:val="20"/>
              </w:rPr>
            </w:pPr>
            <w:r>
              <w:t>Izvršenje financijskog plana 01.01.2024.-30.06.2024.</w:t>
            </w:r>
          </w:p>
        </w:tc>
        <w:tc>
          <w:tcPr>
            <w:tcW w:w="1370" w:type="dxa"/>
            <w:shd w:val="clear" w:color="auto" w:fill="D9D9D9"/>
          </w:tcPr>
          <w:p w14:paraId="34964A8F" w14:textId="16665B8E" w:rsidR="00FA47DE" w:rsidRPr="00C55C21" w:rsidRDefault="00FA47DE" w:rsidP="00FA47DE">
            <w:pPr>
              <w:pStyle w:val="Tijeloteksta"/>
              <w:rPr>
                <w:b/>
                <w:sz w:val="20"/>
              </w:rPr>
            </w:pPr>
            <w:r>
              <w:t>Financijski plan 2025. godine</w:t>
            </w:r>
          </w:p>
        </w:tc>
        <w:tc>
          <w:tcPr>
            <w:tcW w:w="1678" w:type="dxa"/>
            <w:shd w:val="clear" w:color="auto" w:fill="D9D9D9"/>
          </w:tcPr>
          <w:p w14:paraId="04B72526" w14:textId="12438ACD" w:rsidR="00FA47DE" w:rsidRPr="00C55C21" w:rsidRDefault="00FA47DE" w:rsidP="00FA47DE">
            <w:pPr>
              <w:pStyle w:val="Tijeloteksta"/>
              <w:rPr>
                <w:b/>
                <w:sz w:val="20"/>
              </w:rPr>
            </w:pPr>
            <w:r>
              <w:t>Financijski plana 2025. – 1. rebalans</w:t>
            </w:r>
          </w:p>
        </w:tc>
        <w:tc>
          <w:tcPr>
            <w:tcW w:w="1774" w:type="dxa"/>
            <w:shd w:val="clear" w:color="auto" w:fill="D9D9D9"/>
          </w:tcPr>
          <w:p w14:paraId="0118C414" w14:textId="16F8E6FC" w:rsidR="00FA47DE" w:rsidRPr="00C55C21" w:rsidRDefault="00FA47DE" w:rsidP="00FA47DE">
            <w:pPr>
              <w:pStyle w:val="Tijeloteksta"/>
              <w:rPr>
                <w:b/>
                <w:sz w:val="20"/>
              </w:rPr>
            </w:pPr>
            <w:r>
              <w:t>Izvršenje financijskog plana 01.01.2025. – 30.06.2025.</w:t>
            </w:r>
          </w:p>
        </w:tc>
        <w:tc>
          <w:tcPr>
            <w:tcW w:w="1274" w:type="dxa"/>
            <w:shd w:val="clear" w:color="auto" w:fill="D9D9D9"/>
          </w:tcPr>
          <w:p w14:paraId="2E26D941" w14:textId="6180AF3E" w:rsidR="00FA47DE" w:rsidRPr="00C55C21" w:rsidRDefault="00FA47DE" w:rsidP="00FA47DE">
            <w:pPr>
              <w:pStyle w:val="Tijeloteksta"/>
              <w:rPr>
                <w:b/>
                <w:sz w:val="20"/>
              </w:rPr>
            </w:pPr>
            <w:r>
              <w:t>Izvršenje u odnosu na 2024.g.</w:t>
            </w:r>
          </w:p>
        </w:tc>
        <w:tc>
          <w:tcPr>
            <w:tcW w:w="1469" w:type="dxa"/>
            <w:shd w:val="clear" w:color="auto" w:fill="D9D9D9"/>
          </w:tcPr>
          <w:p w14:paraId="20CFD2F0" w14:textId="77777777" w:rsidR="00FA47DE" w:rsidRDefault="00FA47DE" w:rsidP="00FA47DE">
            <w:r>
              <w:t xml:space="preserve">Izvršenje u odnosu na </w:t>
            </w:r>
            <w:proofErr w:type="spellStart"/>
            <w:r>
              <w:t>fin.plan</w:t>
            </w:r>
            <w:proofErr w:type="spellEnd"/>
            <w:r>
              <w:t xml:space="preserve"> za 2025.g. (1. rebalans)</w:t>
            </w:r>
          </w:p>
          <w:p w14:paraId="1EF9953D" w14:textId="77777777" w:rsidR="00FA47DE" w:rsidRPr="00C55C21" w:rsidRDefault="00FA47DE" w:rsidP="00FA47DE">
            <w:pPr>
              <w:pStyle w:val="Tijeloteksta"/>
              <w:rPr>
                <w:b/>
                <w:sz w:val="20"/>
              </w:rPr>
            </w:pPr>
          </w:p>
        </w:tc>
      </w:tr>
      <w:tr w:rsidR="00053A0F" w:rsidRPr="00C55C21" w14:paraId="5CE9AE43" w14:textId="77777777" w:rsidTr="00FA47DE">
        <w:trPr>
          <w:trHeight w:val="737"/>
          <w:jc w:val="center"/>
        </w:trPr>
        <w:tc>
          <w:tcPr>
            <w:tcW w:w="1258" w:type="dxa"/>
          </w:tcPr>
          <w:p w14:paraId="71CE319C" w14:textId="77777777" w:rsidR="00053A0F" w:rsidRPr="00C55C21" w:rsidRDefault="00053A0F" w:rsidP="00197BCE">
            <w:pPr>
              <w:pStyle w:val="Tijeloteksta"/>
              <w:rPr>
                <w:b/>
                <w:sz w:val="20"/>
              </w:rPr>
            </w:pPr>
            <w:r w:rsidRPr="00C55C21">
              <w:rPr>
                <w:b/>
                <w:sz w:val="20"/>
              </w:rPr>
              <w:t>Šifra programa</w:t>
            </w:r>
          </w:p>
          <w:p w14:paraId="0E5226E9" w14:textId="271FFADD" w:rsidR="00053A0F" w:rsidRPr="00C55C21" w:rsidRDefault="00053A0F" w:rsidP="00053A0F">
            <w:pPr>
              <w:pStyle w:val="Tijeloteksta"/>
              <w:rPr>
                <w:b/>
                <w:sz w:val="20"/>
              </w:rPr>
            </w:pPr>
            <w:r>
              <w:rPr>
                <w:b/>
                <w:sz w:val="20"/>
              </w:rPr>
              <w:t>A-</w:t>
            </w:r>
            <w:r w:rsidRPr="00C55C21">
              <w:rPr>
                <w:b/>
                <w:sz w:val="20"/>
              </w:rPr>
              <w:t>2512</w:t>
            </w:r>
            <w:r>
              <w:rPr>
                <w:b/>
                <w:sz w:val="20"/>
              </w:rPr>
              <w:t>-09</w:t>
            </w:r>
          </w:p>
        </w:tc>
        <w:tc>
          <w:tcPr>
            <w:tcW w:w="1436" w:type="dxa"/>
          </w:tcPr>
          <w:p w14:paraId="00AB683A" w14:textId="61D95223" w:rsidR="00053A0F" w:rsidRPr="00C55C21" w:rsidRDefault="00053A0F" w:rsidP="00197BCE">
            <w:pPr>
              <w:pStyle w:val="Tijeloteksta"/>
              <w:rPr>
                <w:b/>
                <w:sz w:val="20"/>
              </w:rPr>
            </w:pPr>
            <w:r>
              <w:rPr>
                <w:b/>
                <w:sz w:val="20"/>
              </w:rPr>
              <w:t>0,00</w:t>
            </w:r>
          </w:p>
        </w:tc>
        <w:tc>
          <w:tcPr>
            <w:tcW w:w="1370" w:type="dxa"/>
          </w:tcPr>
          <w:p w14:paraId="4ACA39A8" w14:textId="3DDA2DC5" w:rsidR="00053A0F" w:rsidRPr="00C55C21" w:rsidRDefault="0049052D" w:rsidP="00197BCE">
            <w:pPr>
              <w:pStyle w:val="Tijeloteksta"/>
              <w:rPr>
                <w:b/>
                <w:sz w:val="20"/>
              </w:rPr>
            </w:pPr>
            <w:r>
              <w:rPr>
                <w:b/>
                <w:sz w:val="20"/>
              </w:rPr>
              <w:t>582.768,79</w:t>
            </w:r>
          </w:p>
        </w:tc>
        <w:tc>
          <w:tcPr>
            <w:tcW w:w="1678" w:type="dxa"/>
          </w:tcPr>
          <w:p w14:paraId="4B12D1E6" w14:textId="761AC3F1" w:rsidR="00053A0F" w:rsidRPr="00C55C21" w:rsidRDefault="0049052D" w:rsidP="00197BCE">
            <w:pPr>
              <w:pStyle w:val="Tijeloteksta"/>
              <w:rPr>
                <w:b/>
                <w:sz w:val="20"/>
              </w:rPr>
            </w:pPr>
            <w:r>
              <w:rPr>
                <w:b/>
                <w:sz w:val="20"/>
              </w:rPr>
              <w:t>582.768,79</w:t>
            </w:r>
          </w:p>
        </w:tc>
        <w:tc>
          <w:tcPr>
            <w:tcW w:w="1774" w:type="dxa"/>
          </w:tcPr>
          <w:p w14:paraId="2C0B5121" w14:textId="7BDBEB89" w:rsidR="00053A0F" w:rsidRPr="00C55C21" w:rsidRDefault="0049052D" w:rsidP="00197BCE">
            <w:pPr>
              <w:pStyle w:val="Tijeloteksta"/>
              <w:rPr>
                <w:b/>
                <w:sz w:val="20"/>
              </w:rPr>
            </w:pPr>
            <w:r>
              <w:rPr>
                <w:b/>
                <w:sz w:val="20"/>
              </w:rPr>
              <w:t>383.311,52</w:t>
            </w:r>
          </w:p>
        </w:tc>
        <w:tc>
          <w:tcPr>
            <w:tcW w:w="1274" w:type="dxa"/>
          </w:tcPr>
          <w:p w14:paraId="49341A08" w14:textId="3EE7D1B1" w:rsidR="00053A0F" w:rsidRPr="00C55C21" w:rsidRDefault="0049052D" w:rsidP="00197BCE">
            <w:pPr>
              <w:pStyle w:val="Tijeloteksta"/>
              <w:rPr>
                <w:b/>
                <w:sz w:val="20"/>
              </w:rPr>
            </w:pPr>
            <w:r>
              <w:rPr>
                <w:b/>
                <w:sz w:val="20"/>
              </w:rPr>
              <w:t>0</w:t>
            </w:r>
          </w:p>
        </w:tc>
        <w:tc>
          <w:tcPr>
            <w:tcW w:w="1469" w:type="dxa"/>
          </w:tcPr>
          <w:p w14:paraId="6ED783D6" w14:textId="5E6454EE" w:rsidR="00053A0F" w:rsidRPr="00C55C21" w:rsidRDefault="0049052D" w:rsidP="00197BCE">
            <w:pPr>
              <w:pStyle w:val="Tijeloteksta"/>
              <w:rPr>
                <w:b/>
                <w:sz w:val="20"/>
              </w:rPr>
            </w:pPr>
            <w:r>
              <w:rPr>
                <w:b/>
                <w:sz w:val="20"/>
              </w:rPr>
              <w:t>65,77</w:t>
            </w:r>
          </w:p>
        </w:tc>
      </w:tr>
    </w:tbl>
    <w:p w14:paraId="5E2CC5BF" w14:textId="7306DECA" w:rsidR="00B97128" w:rsidRDefault="00031227" w:rsidP="00031227">
      <w:pPr>
        <w:pStyle w:val="Tijeloteksta"/>
        <w:ind w:left="1440" w:right="1259"/>
        <w:jc w:val="both"/>
      </w:pPr>
      <w:r>
        <w:t xml:space="preserve">Aktivnost A2512-09 Zdravstvo – iznad standarda je </w:t>
      </w:r>
      <w:r w:rsidR="0049052D">
        <w:t xml:space="preserve">nova </w:t>
      </w:r>
      <w:r>
        <w:t xml:space="preserve">aktivnost u financijskom planu Zavoda za javno zdravstvo Zadar unesena u </w:t>
      </w:r>
      <w:r w:rsidR="00DE18CF">
        <w:t xml:space="preserve">1. </w:t>
      </w:r>
      <w:r>
        <w:t xml:space="preserve">rebalans Zavoda od strane Zadarske županije </w:t>
      </w:r>
      <w:r w:rsidR="0049052D">
        <w:t xml:space="preserve">u </w:t>
      </w:r>
      <w:r w:rsidR="00B97128">
        <w:t xml:space="preserve"> lipnju </w:t>
      </w:r>
      <w:r w:rsidR="0049052D">
        <w:t>2024. g.</w:t>
      </w:r>
      <w:r w:rsidR="00C208F5">
        <w:t>, a</w:t>
      </w:r>
      <w:r w:rsidR="0049052D">
        <w:t xml:space="preserve"> </w:t>
      </w:r>
      <w:r w:rsidR="00B97128">
        <w:t xml:space="preserve">zbog čega u prvih 6 mjeseci 2024.g. nije bilo rashoda </w:t>
      </w:r>
      <w:r w:rsidR="00C208F5">
        <w:t>tj. izvršenja u ovoj aktivnosti, u odnosu na 2025.g.</w:t>
      </w:r>
    </w:p>
    <w:p w14:paraId="07CB3B04" w14:textId="2D59D79A" w:rsidR="00031227" w:rsidRDefault="00B97128" w:rsidP="00031227">
      <w:pPr>
        <w:pStyle w:val="Tijeloteksta"/>
        <w:ind w:left="1440" w:right="1259"/>
        <w:jc w:val="both"/>
      </w:pPr>
      <w:r>
        <w:t xml:space="preserve">Navedena aktivnost se </w:t>
      </w:r>
      <w:r w:rsidR="00031227">
        <w:t>odnosi na sredstva koja će Zadarska županija dodijeliti Zavodu za  provedbu programa MAMMA – „Programa ranog otkrivanja raka dojke za 202</w:t>
      </w:r>
      <w:r w:rsidR="00917F0D">
        <w:t>5</w:t>
      </w:r>
      <w:r w:rsidR="00031227">
        <w:t>. god.“ u iznosu od 27.473,84 eura, za  provođenje nacionalnog programa sustavnog praćenja invazivnih vrsta komaraca na p</w:t>
      </w:r>
      <w:r w:rsidR="00917F0D">
        <w:t>odručju Zadarske županije u 2025</w:t>
      </w:r>
      <w:r w:rsidR="00031227">
        <w:t>. godini komarci u iznosu od 13.156,14, te za plaće dijela djelatnika Zavoda koji nisu ugovoreni u timove s HZZO-om u iznosu od  542.138,81 eura</w:t>
      </w:r>
      <w:r w:rsidR="00DE18CF">
        <w:t xml:space="preserve">. </w:t>
      </w:r>
      <w:r w:rsidR="001B6EF0">
        <w:t>Izvršenje se odvija prema planiranoj dinamici provedbe projekata te isplata dijela plaće djelatnika koji nisu ugovoreni s HZZO-om</w:t>
      </w:r>
      <w:r w:rsidR="00002445">
        <w:t>.</w:t>
      </w:r>
    </w:p>
    <w:p w14:paraId="76439F94" w14:textId="77777777" w:rsidR="009E4B86" w:rsidRDefault="009E4B86" w:rsidP="0044504B">
      <w:pPr>
        <w:pStyle w:val="Tijeloteksta"/>
        <w:ind w:left="1440" w:right="1259"/>
        <w:jc w:val="both"/>
      </w:pPr>
    </w:p>
    <w:p w14:paraId="0E6C2B5E" w14:textId="77777777" w:rsidR="00FD5131" w:rsidRDefault="00FD5131" w:rsidP="0044504B">
      <w:pPr>
        <w:pStyle w:val="Tijeloteksta"/>
        <w:ind w:left="1440" w:right="1259"/>
        <w:jc w:val="both"/>
      </w:pPr>
    </w:p>
    <w:p w14:paraId="44158261" w14:textId="77777777" w:rsidR="0044504B" w:rsidRDefault="0044504B" w:rsidP="0044504B">
      <w:pPr>
        <w:pStyle w:val="Naslov1"/>
      </w:pPr>
      <w:r>
        <w:lastRenderedPageBreak/>
        <w:t>A2512-03 Investicijsko ulaganje</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436"/>
        <w:gridCol w:w="1370"/>
        <w:gridCol w:w="1678"/>
        <w:gridCol w:w="1774"/>
        <w:gridCol w:w="1274"/>
        <w:gridCol w:w="1469"/>
      </w:tblGrid>
      <w:tr w:rsidR="00FA47DE" w:rsidRPr="00C55C21" w14:paraId="0809B389" w14:textId="77777777" w:rsidTr="00F03BDA">
        <w:trPr>
          <w:trHeight w:val="737"/>
          <w:jc w:val="center"/>
        </w:trPr>
        <w:tc>
          <w:tcPr>
            <w:tcW w:w="1258" w:type="dxa"/>
            <w:shd w:val="clear" w:color="auto" w:fill="D9D9D9"/>
          </w:tcPr>
          <w:p w14:paraId="16742E4A" w14:textId="723F9909" w:rsidR="00FA47DE" w:rsidRPr="00C55C21" w:rsidRDefault="00FA47DE" w:rsidP="00FA47DE">
            <w:pPr>
              <w:pStyle w:val="Tijeloteksta"/>
              <w:rPr>
                <w:b/>
                <w:sz w:val="20"/>
              </w:rPr>
            </w:pPr>
            <w:r>
              <w:t>Djelatnost ustanove</w:t>
            </w:r>
            <w:r>
              <w:tab/>
            </w:r>
            <w:r>
              <w:rPr>
                <w:spacing w:val="-17"/>
              </w:rPr>
              <w:t xml:space="preserve">u </w:t>
            </w:r>
            <w:r>
              <w:t>zdravstvu</w:t>
            </w:r>
          </w:p>
        </w:tc>
        <w:tc>
          <w:tcPr>
            <w:tcW w:w="1436" w:type="dxa"/>
            <w:shd w:val="clear" w:color="auto" w:fill="D9D9D9"/>
          </w:tcPr>
          <w:p w14:paraId="02207B0B" w14:textId="5E8F33CA" w:rsidR="00FA47DE" w:rsidRPr="00C55C21" w:rsidRDefault="00FA47DE" w:rsidP="00FA47DE">
            <w:pPr>
              <w:pStyle w:val="Tijeloteksta"/>
              <w:rPr>
                <w:b/>
                <w:sz w:val="20"/>
              </w:rPr>
            </w:pPr>
            <w:r>
              <w:t>Izvršenje financijskog plana 01.01.2024.-30.06.2024.</w:t>
            </w:r>
          </w:p>
        </w:tc>
        <w:tc>
          <w:tcPr>
            <w:tcW w:w="1370" w:type="dxa"/>
            <w:shd w:val="clear" w:color="auto" w:fill="D9D9D9"/>
          </w:tcPr>
          <w:p w14:paraId="331D0447" w14:textId="67976609" w:rsidR="00FA47DE" w:rsidRPr="00C55C21" w:rsidRDefault="00FA47DE" w:rsidP="00FA47DE">
            <w:pPr>
              <w:pStyle w:val="Tijeloteksta"/>
              <w:rPr>
                <w:b/>
                <w:sz w:val="20"/>
              </w:rPr>
            </w:pPr>
            <w:r>
              <w:t>Financijski plan 2025. godine</w:t>
            </w:r>
          </w:p>
        </w:tc>
        <w:tc>
          <w:tcPr>
            <w:tcW w:w="1678" w:type="dxa"/>
            <w:shd w:val="clear" w:color="auto" w:fill="D9D9D9"/>
          </w:tcPr>
          <w:p w14:paraId="7B39E2DF" w14:textId="45960BB1" w:rsidR="00FA47DE" w:rsidRPr="00C55C21" w:rsidRDefault="00FA47DE" w:rsidP="00FA47DE">
            <w:pPr>
              <w:pStyle w:val="Tijeloteksta"/>
              <w:rPr>
                <w:b/>
                <w:sz w:val="20"/>
              </w:rPr>
            </w:pPr>
            <w:r>
              <w:t>Financijski plana 2025. – 1. rebalans</w:t>
            </w:r>
          </w:p>
        </w:tc>
        <w:tc>
          <w:tcPr>
            <w:tcW w:w="1774" w:type="dxa"/>
            <w:shd w:val="clear" w:color="auto" w:fill="D9D9D9"/>
          </w:tcPr>
          <w:p w14:paraId="76C17600" w14:textId="6D9F247B" w:rsidR="00FA47DE" w:rsidRPr="00C55C21" w:rsidRDefault="00FA47DE" w:rsidP="00FA47DE">
            <w:pPr>
              <w:pStyle w:val="Tijeloteksta"/>
              <w:rPr>
                <w:b/>
                <w:sz w:val="20"/>
              </w:rPr>
            </w:pPr>
            <w:r>
              <w:t>Izvršenje financijskog plana 01.01.2025. – 30.06.2025.</w:t>
            </w:r>
          </w:p>
        </w:tc>
        <w:tc>
          <w:tcPr>
            <w:tcW w:w="1274" w:type="dxa"/>
            <w:shd w:val="clear" w:color="auto" w:fill="D9D9D9"/>
          </w:tcPr>
          <w:p w14:paraId="76D8DAE7" w14:textId="0AE836A1" w:rsidR="00FA47DE" w:rsidRPr="00C55C21" w:rsidRDefault="00FA47DE" w:rsidP="00FA47DE">
            <w:pPr>
              <w:pStyle w:val="Tijeloteksta"/>
              <w:rPr>
                <w:b/>
                <w:sz w:val="20"/>
              </w:rPr>
            </w:pPr>
            <w:r>
              <w:t>Izvršenje u odnosu na 2024.g.</w:t>
            </w:r>
          </w:p>
        </w:tc>
        <w:tc>
          <w:tcPr>
            <w:tcW w:w="1469" w:type="dxa"/>
            <w:shd w:val="clear" w:color="auto" w:fill="D9D9D9"/>
          </w:tcPr>
          <w:p w14:paraId="09846335" w14:textId="77777777" w:rsidR="00FA47DE" w:rsidRDefault="00FA47DE" w:rsidP="00FA47DE">
            <w:r>
              <w:t xml:space="preserve">Izvršenje u odnosu na </w:t>
            </w:r>
            <w:proofErr w:type="spellStart"/>
            <w:r>
              <w:t>fin.plan</w:t>
            </w:r>
            <w:proofErr w:type="spellEnd"/>
            <w:r>
              <w:t xml:space="preserve"> za 2025.g. (1. rebalans)</w:t>
            </w:r>
          </w:p>
          <w:p w14:paraId="1ADC1476" w14:textId="77777777" w:rsidR="00FA47DE" w:rsidRPr="00C55C21" w:rsidRDefault="00FA47DE" w:rsidP="00FA47DE">
            <w:pPr>
              <w:pStyle w:val="Tijeloteksta"/>
              <w:rPr>
                <w:b/>
                <w:sz w:val="20"/>
              </w:rPr>
            </w:pPr>
          </w:p>
        </w:tc>
      </w:tr>
      <w:tr w:rsidR="00CC0927" w:rsidRPr="00C55C21" w14:paraId="794FAD6C" w14:textId="77777777" w:rsidTr="00F03BDA">
        <w:trPr>
          <w:trHeight w:val="737"/>
          <w:jc w:val="center"/>
        </w:trPr>
        <w:tc>
          <w:tcPr>
            <w:tcW w:w="1258" w:type="dxa"/>
          </w:tcPr>
          <w:p w14:paraId="773938E0" w14:textId="77777777" w:rsidR="00CC0927" w:rsidRPr="00C55C21" w:rsidRDefault="00CC0927" w:rsidP="004D5306">
            <w:pPr>
              <w:pStyle w:val="Tijeloteksta"/>
              <w:rPr>
                <w:b/>
                <w:sz w:val="20"/>
              </w:rPr>
            </w:pPr>
            <w:r w:rsidRPr="00C55C21">
              <w:rPr>
                <w:b/>
                <w:sz w:val="20"/>
              </w:rPr>
              <w:t>Šifra programa</w:t>
            </w:r>
          </w:p>
          <w:p w14:paraId="6947ECB9" w14:textId="6EE84335" w:rsidR="00CC0927" w:rsidRPr="00C55C21" w:rsidRDefault="00CC0927" w:rsidP="00CC0927">
            <w:pPr>
              <w:pStyle w:val="Tijeloteksta"/>
              <w:rPr>
                <w:b/>
                <w:sz w:val="20"/>
              </w:rPr>
            </w:pPr>
            <w:r>
              <w:rPr>
                <w:b/>
                <w:sz w:val="20"/>
              </w:rPr>
              <w:t>A-</w:t>
            </w:r>
            <w:r w:rsidRPr="00C55C21">
              <w:rPr>
                <w:b/>
                <w:sz w:val="20"/>
              </w:rPr>
              <w:t>2512</w:t>
            </w:r>
            <w:r>
              <w:rPr>
                <w:b/>
                <w:sz w:val="20"/>
              </w:rPr>
              <w:t>-03</w:t>
            </w:r>
          </w:p>
        </w:tc>
        <w:tc>
          <w:tcPr>
            <w:tcW w:w="1436" w:type="dxa"/>
          </w:tcPr>
          <w:p w14:paraId="07515F16" w14:textId="5C7ED3B3" w:rsidR="00CC0927" w:rsidRPr="00C55C21" w:rsidRDefault="004058CE" w:rsidP="004D5306">
            <w:pPr>
              <w:pStyle w:val="Tijeloteksta"/>
              <w:rPr>
                <w:b/>
                <w:sz w:val="20"/>
              </w:rPr>
            </w:pPr>
            <w:r>
              <w:rPr>
                <w:b/>
                <w:sz w:val="20"/>
              </w:rPr>
              <w:t>11.819.58</w:t>
            </w:r>
          </w:p>
        </w:tc>
        <w:tc>
          <w:tcPr>
            <w:tcW w:w="1370" w:type="dxa"/>
          </w:tcPr>
          <w:p w14:paraId="57B9755B" w14:textId="088C4FAD" w:rsidR="00CC0927" w:rsidRPr="00C55C21" w:rsidRDefault="004058CE" w:rsidP="004D5306">
            <w:pPr>
              <w:pStyle w:val="Tijeloteksta"/>
              <w:rPr>
                <w:b/>
                <w:sz w:val="20"/>
              </w:rPr>
            </w:pPr>
            <w:r>
              <w:rPr>
                <w:b/>
                <w:sz w:val="20"/>
              </w:rPr>
              <w:t>87.800,00</w:t>
            </w:r>
          </w:p>
        </w:tc>
        <w:tc>
          <w:tcPr>
            <w:tcW w:w="1678" w:type="dxa"/>
          </w:tcPr>
          <w:p w14:paraId="00D7FDE7" w14:textId="09D94491" w:rsidR="00CC0927" w:rsidRPr="00C55C21" w:rsidRDefault="004058CE" w:rsidP="004D5306">
            <w:pPr>
              <w:pStyle w:val="Tijeloteksta"/>
              <w:rPr>
                <w:b/>
                <w:sz w:val="20"/>
              </w:rPr>
            </w:pPr>
            <w:r>
              <w:rPr>
                <w:b/>
                <w:sz w:val="20"/>
              </w:rPr>
              <w:t>288.000,00</w:t>
            </w:r>
          </w:p>
        </w:tc>
        <w:tc>
          <w:tcPr>
            <w:tcW w:w="1774" w:type="dxa"/>
          </w:tcPr>
          <w:p w14:paraId="79343239" w14:textId="6F28224C" w:rsidR="00CC0927" w:rsidRPr="00C55C21" w:rsidRDefault="004058CE" w:rsidP="004D5306">
            <w:pPr>
              <w:pStyle w:val="Tijeloteksta"/>
              <w:rPr>
                <w:b/>
                <w:sz w:val="20"/>
              </w:rPr>
            </w:pPr>
            <w:r>
              <w:rPr>
                <w:b/>
                <w:sz w:val="20"/>
              </w:rPr>
              <w:t>12.614,02</w:t>
            </w:r>
          </w:p>
        </w:tc>
        <w:tc>
          <w:tcPr>
            <w:tcW w:w="1274" w:type="dxa"/>
          </w:tcPr>
          <w:p w14:paraId="6277B476" w14:textId="71B8C394" w:rsidR="00CC0927" w:rsidRPr="00C55C21" w:rsidRDefault="004058CE" w:rsidP="004D5306">
            <w:pPr>
              <w:pStyle w:val="Tijeloteksta"/>
              <w:rPr>
                <w:b/>
                <w:sz w:val="20"/>
              </w:rPr>
            </w:pPr>
            <w:r>
              <w:rPr>
                <w:b/>
                <w:sz w:val="20"/>
              </w:rPr>
              <w:t>106,72</w:t>
            </w:r>
          </w:p>
        </w:tc>
        <w:tc>
          <w:tcPr>
            <w:tcW w:w="1469" w:type="dxa"/>
          </w:tcPr>
          <w:p w14:paraId="2552ECB5" w14:textId="5833FC46" w:rsidR="00CC0927" w:rsidRPr="00C55C21" w:rsidRDefault="004058CE" w:rsidP="004D5306">
            <w:pPr>
              <w:pStyle w:val="Tijeloteksta"/>
              <w:rPr>
                <w:b/>
                <w:sz w:val="20"/>
              </w:rPr>
            </w:pPr>
            <w:r>
              <w:rPr>
                <w:b/>
                <w:sz w:val="20"/>
              </w:rPr>
              <w:t>4,38</w:t>
            </w:r>
          </w:p>
        </w:tc>
      </w:tr>
    </w:tbl>
    <w:p w14:paraId="28D0EF0D" w14:textId="77777777" w:rsidR="00002445" w:rsidRDefault="00002445" w:rsidP="0028298E">
      <w:pPr>
        <w:pStyle w:val="Tijeloteksta"/>
        <w:ind w:left="1440" w:right="1259"/>
        <w:jc w:val="both"/>
      </w:pPr>
    </w:p>
    <w:p w14:paraId="2B317989" w14:textId="7CEC7454" w:rsidR="00EE0F9C" w:rsidRDefault="0044504B" w:rsidP="0028298E">
      <w:pPr>
        <w:pStyle w:val="Tijeloteksta"/>
        <w:ind w:left="1440" w:right="1259"/>
        <w:jc w:val="both"/>
      </w:pPr>
      <w:r>
        <w:t xml:space="preserve">Sredstva za nabavu nefinancijske imovine u cilju osiguranja kontinuiranog poslovanja te unaprjeđenja i kvalitetnog pružanja usluga, te daljnjeg opremanja poslovnog prostora, osigurana su </w:t>
      </w:r>
      <w:r w:rsidR="00353896">
        <w:t xml:space="preserve">manjim </w:t>
      </w:r>
      <w:r>
        <w:t xml:space="preserve">dijelom iz vlastitih prihoda te sredstvima iz decentraliziranih funkcija </w:t>
      </w:r>
      <w:r w:rsidR="007D6262">
        <w:t>za 202</w:t>
      </w:r>
      <w:r w:rsidR="00353896">
        <w:t>5</w:t>
      </w:r>
      <w:r w:rsidR="007D6262">
        <w:t xml:space="preserve">.g prema odobrenoj raspodjeli planiranog iznosa za Zavod u iznosu od </w:t>
      </w:r>
      <w:r w:rsidR="00353896">
        <w:t>243.000</w:t>
      </w:r>
      <w:r w:rsidR="007D6262">
        <w:t>,00 eura.</w:t>
      </w:r>
    </w:p>
    <w:p w14:paraId="0279B6C5" w14:textId="164C2C30" w:rsidR="000E626C" w:rsidRPr="000A1F07" w:rsidRDefault="008E0F6C" w:rsidP="0028298E">
      <w:pPr>
        <w:pStyle w:val="Tijeloteksta"/>
        <w:ind w:left="1440" w:right="1259"/>
        <w:jc w:val="both"/>
      </w:pPr>
      <w:r>
        <w:t>Izvršenje financijskog plana u 202</w:t>
      </w:r>
      <w:r w:rsidR="000A1F07">
        <w:t>5</w:t>
      </w:r>
      <w:r>
        <w:t xml:space="preserve">. godini </w:t>
      </w:r>
      <w:r w:rsidR="000A1F07">
        <w:t>je na pro</w:t>
      </w:r>
      <w:r w:rsidR="003F1740">
        <w:t>š</w:t>
      </w:r>
      <w:r w:rsidR="000A1F07">
        <w:t>logodišnjoj razini, a sve u ovisnosti o prihodima i dinamici nastalih</w:t>
      </w:r>
      <w:r w:rsidR="00C41AFB">
        <w:t xml:space="preserve"> rashoda sukladno</w:t>
      </w:r>
      <w:r w:rsidR="000A1F07">
        <w:t xml:space="preserve"> potreb</w:t>
      </w:r>
      <w:r w:rsidR="00C41AFB">
        <w:t>ama Službi Zavoda.</w:t>
      </w:r>
    </w:p>
    <w:p w14:paraId="4587F7C4" w14:textId="77777777" w:rsidR="00B941E1" w:rsidRDefault="00B941E1" w:rsidP="0028298E">
      <w:pPr>
        <w:pStyle w:val="Tijeloteksta"/>
        <w:ind w:left="1440" w:right="1259"/>
        <w:jc w:val="both"/>
        <w:rPr>
          <w:b/>
        </w:rPr>
      </w:pPr>
    </w:p>
    <w:p w14:paraId="51A0501D" w14:textId="77777777" w:rsidR="00002445" w:rsidRDefault="00002445" w:rsidP="0028298E">
      <w:pPr>
        <w:pStyle w:val="Tijeloteksta"/>
        <w:ind w:left="1440" w:right="1259"/>
        <w:jc w:val="both"/>
        <w:rPr>
          <w:b/>
        </w:rPr>
      </w:pPr>
    </w:p>
    <w:tbl>
      <w:tblPr>
        <w:tblpPr w:leftFromText="180" w:rightFromText="180" w:vertAnchor="text" w:horzAnchor="margin" w:tblpXSpec="center" w:tblpY="3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FA47DE" w:rsidRPr="000158B6" w14:paraId="4C9F1EE8" w14:textId="77777777" w:rsidTr="00362BC1">
        <w:trPr>
          <w:trHeight w:val="1154"/>
        </w:trPr>
        <w:tc>
          <w:tcPr>
            <w:tcW w:w="1260" w:type="dxa"/>
            <w:shd w:val="clear" w:color="auto" w:fill="D9D9D9"/>
          </w:tcPr>
          <w:p w14:paraId="15333F6B" w14:textId="08BBBAC2" w:rsidR="00FA47DE" w:rsidRPr="000158B6" w:rsidRDefault="00FA47DE" w:rsidP="00FA47DE">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6A149A79" w14:textId="67C00CE3" w:rsidR="00FA47DE" w:rsidRPr="000158B6" w:rsidRDefault="00FA47DE" w:rsidP="00FA47DE">
            <w:pPr>
              <w:spacing w:before="120"/>
              <w:jc w:val="both"/>
              <w:rPr>
                <w:b/>
                <w:sz w:val="20"/>
                <w:szCs w:val="20"/>
              </w:rPr>
            </w:pPr>
            <w:r>
              <w:t>Izvršenje financijskog plana 01.01.2024.-30.06.2024.</w:t>
            </w:r>
          </w:p>
        </w:tc>
        <w:tc>
          <w:tcPr>
            <w:tcW w:w="1371" w:type="dxa"/>
            <w:shd w:val="clear" w:color="auto" w:fill="D9D9D9"/>
          </w:tcPr>
          <w:p w14:paraId="33771369" w14:textId="24B55D1E" w:rsidR="00FA47DE" w:rsidRPr="000158B6" w:rsidRDefault="00FA47DE" w:rsidP="00FA47DE">
            <w:pPr>
              <w:spacing w:before="120"/>
              <w:jc w:val="both"/>
              <w:rPr>
                <w:b/>
                <w:sz w:val="20"/>
                <w:szCs w:val="20"/>
              </w:rPr>
            </w:pPr>
            <w:r>
              <w:t>Financijski plan 2025. godine</w:t>
            </w:r>
          </w:p>
        </w:tc>
        <w:tc>
          <w:tcPr>
            <w:tcW w:w="1683" w:type="dxa"/>
            <w:shd w:val="clear" w:color="auto" w:fill="D9D9D9"/>
          </w:tcPr>
          <w:p w14:paraId="7A307BDB" w14:textId="1E6FC304" w:rsidR="00FA47DE" w:rsidRPr="000158B6" w:rsidRDefault="00FA47DE" w:rsidP="00FA47DE">
            <w:pPr>
              <w:spacing w:before="120"/>
              <w:jc w:val="both"/>
              <w:rPr>
                <w:b/>
                <w:sz w:val="20"/>
                <w:szCs w:val="20"/>
              </w:rPr>
            </w:pPr>
            <w:r>
              <w:t>Financijski plana 2025. – 1. rebalans</w:t>
            </w:r>
          </w:p>
        </w:tc>
        <w:tc>
          <w:tcPr>
            <w:tcW w:w="1779" w:type="dxa"/>
            <w:shd w:val="clear" w:color="auto" w:fill="D9D9D9"/>
          </w:tcPr>
          <w:p w14:paraId="310C8329" w14:textId="503A79A8" w:rsidR="00FA47DE" w:rsidRPr="000158B6" w:rsidRDefault="00FA47DE" w:rsidP="00FA47DE">
            <w:pPr>
              <w:spacing w:before="120"/>
              <w:jc w:val="both"/>
              <w:rPr>
                <w:b/>
                <w:sz w:val="20"/>
                <w:szCs w:val="20"/>
              </w:rPr>
            </w:pPr>
            <w:r>
              <w:t>Izvršenje financijskog plana 01.01.2025. – 30.06.2025.</w:t>
            </w:r>
          </w:p>
        </w:tc>
        <w:tc>
          <w:tcPr>
            <w:tcW w:w="1276" w:type="dxa"/>
            <w:shd w:val="clear" w:color="auto" w:fill="D9D9D9"/>
          </w:tcPr>
          <w:p w14:paraId="48108673" w14:textId="0C209732" w:rsidR="00FA47DE" w:rsidRPr="000158B6" w:rsidRDefault="00FA47DE" w:rsidP="00FA47DE">
            <w:pPr>
              <w:spacing w:before="120"/>
              <w:jc w:val="both"/>
              <w:rPr>
                <w:b/>
                <w:sz w:val="20"/>
                <w:szCs w:val="20"/>
              </w:rPr>
            </w:pPr>
            <w:r>
              <w:t>Izvršenje u odnosu na 2024.g.</w:t>
            </w:r>
          </w:p>
        </w:tc>
        <w:tc>
          <w:tcPr>
            <w:tcW w:w="1559" w:type="dxa"/>
            <w:shd w:val="clear" w:color="auto" w:fill="D9D9D9"/>
          </w:tcPr>
          <w:p w14:paraId="595521C5" w14:textId="77777777" w:rsidR="00FA47DE" w:rsidRDefault="00FA47DE" w:rsidP="00FA47DE">
            <w:r>
              <w:t xml:space="preserve">Izvršenje u odnosu na </w:t>
            </w:r>
            <w:proofErr w:type="spellStart"/>
            <w:r>
              <w:t>fin.plan</w:t>
            </w:r>
            <w:proofErr w:type="spellEnd"/>
            <w:r>
              <w:t xml:space="preserve"> za 2025.g. (1. rebalans)</w:t>
            </w:r>
          </w:p>
          <w:p w14:paraId="2C8D87CA" w14:textId="77777777" w:rsidR="00FA47DE" w:rsidRPr="000158B6" w:rsidRDefault="00FA47DE" w:rsidP="00FA47DE">
            <w:pPr>
              <w:spacing w:before="120"/>
              <w:jc w:val="both"/>
              <w:rPr>
                <w:b/>
                <w:sz w:val="20"/>
                <w:szCs w:val="20"/>
              </w:rPr>
            </w:pPr>
          </w:p>
        </w:tc>
      </w:tr>
      <w:tr w:rsidR="00362BC1" w:rsidRPr="000158B6" w14:paraId="108E374B" w14:textId="77777777" w:rsidTr="00362BC1">
        <w:trPr>
          <w:trHeight w:val="737"/>
        </w:trPr>
        <w:tc>
          <w:tcPr>
            <w:tcW w:w="1260" w:type="dxa"/>
          </w:tcPr>
          <w:p w14:paraId="0F7191E9" w14:textId="77777777" w:rsidR="00362BC1" w:rsidRPr="000158B6" w:rsidRDefault="00362BC1" w:rsidP="00362BC1">
            <w:pPr>
              <w:spacing w:before="120"/>
              <w:jc w:val="both"/>
              <w:rPr>
                <w:b/>
                <w:sz w:val="20"/>
                <w:szCs w:val="20"/>
              </w:rPr>
            </w:pPr>
            <w:r w:rsidRPr="000158B6">
              <w:rPr>
                <w:b/>
                <w:sz w:val="20"/>
                <w:szCs w:val="20"/>
              </w:rPr>
              <w:t>Šifra programa</w:t>
            </w:r>
          </w:p>
          <w:p w14:paraId="12F75324" w14:textId="77777777" w:rsidR="00362BC1" w:rsidRPr="000158B6" w:rsidRDefault="00362BC1" w:rsidP="00362BC1">
            <w:pPr>
              <w:spacing w:before="120"/>
              <w:jc w:val="both"/>
              <w:rPr>
                <w:b/>
                <w:sz w:val="20"/>
                <w:szCs w:val="20"/>
              </w:rPr>
            </w:pPr>
            <w:r w:rsidRPr="000158B6">
              <w:rPr>
                <w:b/>
                <w:sz w:val="20"/>
                <w:szCs w:val="20"/>
              </w:rPr>
              <w:t>2514</w:t>
            </w:r>
          </w:p>
        </w:tc>
        <w:tc>
          <w:tcPr>
            <w:tcW w:w="1415" w:type="dxa"/>
          </w:tcPr>
          <w:p w14:paraId="353D4819" w14:textId="3FA12D6A" w:rsidR="00362BC1" w:rsidRPr="000158B6" w:rsidRDefault="003F1740" w:rsidP="00362BC1">
            <w:pPr>
              <w:spacing w:before="120"/>
              <w:jc w:val="both"/>
              <w:rPr>
                <w:b/>
                <w:sz w:val="20"/>
                <w:szCs w:val="20"/>
              </w:rPr>
            </w:pPr>
            <w:r>
              <w:rPr>
                <w:b/>
                <w:sz w:val="20"/>
                <w:szCs w:val="20"/>
              </w:rPr>
              <w:t>85.659,69</w:t>
            </w:r>
          </w:p>
        </w:tc>
        <w:tc>
          <w:tcPr>
            <w:tcW w:w="1371" w:type="dxa"/>
          </w:tcPr>
          <w:p w14:paraId="0B03AD85" w14:textId="2557FEDF" w:rsidR="00362BC1" w:rsidRPr="000158B6" w:rsidRDefault="003F1740" w:rsidP="00362BC1">
            <w:pPr>
              <w:spacing w:before="120"/>
              <w:jc w:val="both"/>
              <w:rPr>
                <w:b/>
                <w:sz w:val="20"/>
                <w:szCs w:val="20"/>
              </w:rPr>
            </w:pPr>
            <w:r>
              <w:rPr>
                <w:b/>
                <w:sz w:val="20"/>
                <w:szCs w:val="20"/>
              </w:rPr>
              <w:t>229.304,40</w:t>
            </w:r>
          </w:p>
        </w:tc>
        <w:tc>
          <w:tcPr>
            <w:tcW w:w="1683" w:type="dxa"/>
          </w:tcPr>
          <w:p w14:paraId="272470E7" w14:textId="3BD96FCD" w:rsidR="00362BC1" w:rsidRPr="000158B6" w:rsidRDefault="003F1740" w:rsidP="00362BC1">
            <w:pPr>
              <w:spacing w:before="120"/>
              <w:jc w:val="both"/>
              <w:rPr>
                <w:b/>
                <w:sz w:val="20"/>
                <w:szCs w:val="20"/>
              </w:rPr>
            </w:pPr>
            <w:r>
              <w:rPr>
                <w:b/>
                <w:sz w:val="20"/>
                <w:szCs w:val="20"/>
              </w:rPr>
              <w:t>226.342,76</w:t>
            </w:r>
          </w:p>
        </w:tc>
        <w:tc>
          <w:tcPr>
            <w:tcW w:w="1779" w:type="dxa"/>
          </w:tcPr>
          <w:p w14:paraId="3C0C207D" w14:textId="1FA2ED8E" w:rsidR="00362BC1" w:rsidRPr="000158B6" w:rsidRDefault="003F1740" w:rsidP="00362BC1">
            <w:pPr>
              <w:spacing w:before="120"/>
              <w:jc w:val="both"/>
              <w:rPr>
                <w:b/>
                <w:sz w:val="20"/>
                <w:szCs w:val="20"/>
              </w:rPr>
            </w:pPr>
            <w:r>
              <w:rPr>
                <w:b/>
                <w:sz w:val="20"/>
                <w:szCs w:val="20"/>
              </w:rPr>
              <w:t>48.971,13</w:t>
            </w:r>
          </w:p>
        </w:tc>
        <w:tc>
          <w:tcPr>
            <w:tcW w:w="1276" w:type="dxa"/>
          </w:tcPr>
          <w:p w14:paraId="38473BB2" w14:textId="48803182" w:rsidR="00362BC1" w:rsidRPr="000158B6" w:rsidRDefault="003F1740" w:rsidP="00362BC1">
            <w:pPr>
              <w:spacing w:before="120"/>
              <w:jc w:val="both"/>
              <w:rPr>
                <w:b/>
                <w:sz w:val="20"/>
                <w:szCs w:val="20"/>
              </w:rPr>
            </w:pPr>
            <w:r>
              <w:rPr>
                <w:b/>
                <w:sz w:val="20"/>
                <w:szCs w:val="20"/>
              </w:rPr>
              <w:t>59,24</w:t>
            </w:r>
          </w:p>
        </w:tc>
        <w:tc>
          <w:tcPr>
            <w:tcW w:w="1559" w:type="dxa"/>
          </w:tcPr>
          <w:p w14:paraId="1E752EB9" w14:textId="78F828A8" w:rsidR="00362BC1" w:rsidRPr="000158B6" w:rsidRDefault="003F1740" w:rsidP="00362BC1">
            <w:pPr>
              <w:spacing w:before="120"/>
              <w:jc w:val="both"/>
              <w:rPr>
                <w:b/>
                <w:sz w:val="20"/>
                <w:szCs w:val="20"/>
              </w:rPr>
            </w:pPr>
            <w:r>
              <w:rPr>
                <w:b/>
                <w:sz w:val="20"/>
                <w:szCs w:val="20"/>
              </w:rPr>
              <w:t>21,64</w:t>
            </w:r>
          </w:p>
        </w:tc>
      </w:tr>
    </w:tbl>
    <w:p w14:paraId="4D08D222" w14:textId="6505CECA" w:rsidR="000158B6" w:rsidRDefault="00B941E1" w:rsidP="0028298E">
      <w:pPr>
        <w:pStyle w:val="Tijeloteksta"/>
        <w:ind w:left="1440" w:right="1259"/>
        <w:jc w:val="both"/>
        <w:rPr>
          <w:b/>
        </w:rPr>
      </w:pPr>
      <w:r>
        <w:rPr>
          <w:b/>
        </w:rPr>
        <w:t>2514 Unaprjeđenj</w:t>
      </w:r>
      <w:r w:rsidR="00362BC1">
        <w:rPr>
          <w:b/>
        </w:rPr>
        <w:t>e zdravstvene zaštite i zdravlja</w:t>
      </w:r>
    </w:p>
    <w:p w14:paraId="3D1E61F2" w14:textId="77777777" w:rsidR="00002445" w:rsidRDefault="00002445" w:rsidP="0028298E">
      <w:pPr>
        <w:pStyle w:val="Tijeloteksta"/>
        <w:ind w:left="1440" w:right="1259"/>
        <w:jc w:val="both"/>
        <w:rPr>
          <w:b/>
        </w:rPr>
      </w:pPr>
    </w:p>
    <w:p w14:paraId="3AB218C2" w14:textId="6F3CDD37" w:rsidR="000E626C" w:rsidRPr="004D506D" w:rsidRDefault="003B16C5" w:rsidP="004D506D">
      <w:pPr>
        <w:pStyle w:val="Tijeloteksta"/>
        <w:ind w:left="1440" w:right="1259"/>
        <w:jc w:val="both"/>
      </w:pPr>
      <w:r w:rsidRPr="004D506D">
        <w:t>Opis programa: Program 2514 Unaprjeđenje zdravstvene zaštite  uključuje preventivne projekte zaštite i unapređenja zdravlja djece i mladih koje provodi Služba za mentalno zdravlje i prevenciju ovisnosti, i to T2514-04 Trening životnih vještina i T2514-06 Mentalno zdravlje za sve koji je promijenio naziv u Mreža zdravlja T2514-13 i All-</w:t>
      </w:r>
      <w:proofErr w:type="spellStart"/>
      <w:r w:rsidRPr="004D506D">
        <w:t>in</w:t>
      </w:r>
      <w:proofErr w:type="spellEnd"/>
      <w:r w:rsidRPr="004D506D">
        <w:t xml:space="preserve"> - Projekt prevencije i liječenja ovisnosti o </w:t>
      </w:r>
      <w:r w:rsidR="0085319D">
        <w:t>kockanju i novim tehnologijama -</w:t>
      </w:r>
      <w:r w:rsidR="0085319D" w:rsidRPr="004D506D">
        <w:t>T2514-08</w:t>
      </w:r>
    </w:p>
    <w:p w14:paraId="1B197CF5" w14:textId="584C973D" w:rsidR="00362BC1" w:rsidRDefault="000E626C" w:rsidP="002433BD">
      <w:pPr>
        <w:pStyle w:val="Tijeloteksta"/>
        <w:ind w:left="1440" w:right="1259"/>
        <w:jc w:val="both"/>
      </w:pPr>
      <w:r>
        <w:t>Izvršenje financijskog plana 202</w:t>
      </w:r>
      <w:r w:rsidR="004D506D">
        <w:t xml:space="preserve">5. </w:t>
      </w:r>
      <w:r>
        <w:t xml:space="preserve">godine je </w:t>
      </w:r>
      <w:r w:rsidR="00867031">
        <w:t xml:space="preserve">manje </w:t>
      </w:r>
      <w:r>
        <w:t>od izvršenje financijskog plana za 202</w:t>
      </w:r>
      <w:r w:rsidR="00EA0F11">
        <w:t>4</w:t>
      </w:r>
      <w:r>
        <w:t xml:space="preserve">.g. </w:t>
      </w:r>
      <w:r w:rsidR="00B27D5A">
        <w:t>jer</w:t>
      </w:r>
      <w:r w:rsidR="00867031">
        <w:t xml:space="preserve"> </w:t>
      </w:r>
      <w:r w:rsidR="00E2441C">
        <w:t>u ovom izvještajnom razdoblju još nije realiziran ugovor za projekt „</w:t>
      </w:r>
      <w:r w:rsidR="00B27D5A">
        <w:t>Mreža zdravlja</w:t>
      </w:r>
      <w:r w:rsidR="00E2441C">
        <w:t xml:space="preserve">“ </w:t>
      </w:r>
      <w:r w:rsidR="00497F0B">
        <w:t>s Ministarstvom zdravstva</w:t>
      </w:r>
      <w:r>
        <w:t>“</w:t>
      </w:r>
      <w:r w:rsidR="00B27D5A">
        <w:t xml:space="preserve"> – čeke se ovjera ugovora.</w:t>
      </w:r>
    </w:p>
    <w:p w14:paraId="2E8C26AA" w14:textId="77777777" w:rsidR="00F03BDA" w:rsidRDefault="00F03BDA" w:rsidP="002433BD">
      <w:pPr>
        <w:pStyle w:val="Tijeloteksta"/>
        <w:ind w:left="1440" w:right="1259"/>
        <w:jc w:val="both"/>
      </w:pPr>
    </w:p>
    <w:p w14:paraId="38EA98F7" w14:textId="77777777" w:rsidR="00002445" w:rsidRDefault="00002445" w:rsidP="002433BD">
      <w:pPr>
        <w:pStyle w:val="Tijeloteksta"/>
        <w:ind w:left="1440" w:right="1259"/>
        <w:jc w:val="both"/>
        <w:rPr>
          <w:b/>
        </w:rPr>
      </w:pPr>
    </w:p>
    <w:p w14:paraId="51B414DC" w14:textId="67CBE307" w:rsidR="00F03BDA" w:rsidRDefault="00D0158C" w:rsidP="002433BD">
      <w:pPr>
        <w:pStyle w:val="Tijeloteksta"/>
        <w:ind w:left="1440" w:right="1259"/>
        <w:jc w:val="both"/>
        <w:rPr>
          <w:b/>
        </w:rPr>
      </w:pPr>
      <w:r w:rsidRPr="00D0158C">
        <w:rPr>
          <w:b/>
        </w:rPr>
        <w:t>T2514-04 Trening životnih vještina</w:t>
      </w:r>
    </w:p>
    <w:p w14:paraId="55D7A6B1" w14:textId="77777777" w:rsidR="005F7568" w:rsidRDefault="005F7568" w:rsidP="002433BD">
      <w:pPr>
        <w:pStyle w:val="Tijeloteksta"/>
        <w:ind w:left="1440" w:right="1259"/>
        <w:jc w:val="both"/>
        <w:rPr>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404"/>
        <w:gridCol w:w="1346"/>
        <w:gridCol w:w="1614"/>
        <w:gridCol w:w="1712"/>
        <w:gridCol w:w="1241"/>
        <w:gridCol w:w="1196"/>
      </w:tblGrid>
      <w:tr w:rsidR="00FA47DE" w:rsidRPr="000158B6" w14:paraId="605B5204" w14:textId="77777777" w:rsidTr="00197BCE">
        <w:trPr>
          <w:trHeight w:val="1154"/>
          <w:jc w:val="center"/>
        </w:trPr>
        <w:tc>
          <w:tcPr>
            <w:tcW w:w="1121" w:type="dxa"/>
            <w:shd w:val="clear" w:color="auto" w:fill="D9D9D9"/>
          </w:tcPr>
          <w:p w14:paraId="7258426C" w14:textId="55762FD1" w:rsidR="00FA47DE" w:rsidRPr="000158B6" w:rsidRDefault="00FA47DE" w:rsidP="00FA47DE">
            <w:pPr>
              <w:spacing w:before="120"/>
              <w:jc w:val="both"/>
              <w:rPr>
                <w:b/>
                <w:sz w:val="20"/>
                <w:szCs w:val="20"/>
              </w:rPr>
            </w:pPr>
            <w:r>
              <w:t>Djelatnost ustanove</w:t>
            </w:r>
            <w:r>
              <w:tab/>
            </w:r>
            <w:r>
              <w:rPr>
                <w:spacing w:val="-17"/>
              </w:rPr>
              <w:t xml:space="preserve">u </w:t>
            </w:r>
            <w:r>
              <w:t>zdravstvu</w:t>
            </w:r>
          </w:p>
        </w:tc>
        <w:tc>
          <w:tcPr>
            <w:tcW w:w="1404" w:type="dxa"/>
            <w:shd w:val="clear" w:color="auto" w:fill="D9D9D9"/>
          </w:tcPr>
          <w:p w14:paraId="3EF91595" w14:textId="768B518D" w:rsidR="00FA47DE" w:rsidRPr="000158B6" w:rsidRDefault="00FA47DE" w:rsidP="00FA47DE">
            <w:pPr>
              <w:spacing w:before="120"/>
              <w:jc w:val="both"/>
              <w:rPr>
                <w:b/>
                <w:sz w:val="20"/>
                <w:szCs w:val="20"/>
              </w:rPr>
            </w:pPr>
            <w:r>
              <w:t>Izvršenje financijskog plana 01.01.2024.-30.06.2024.</w:t>
            </w:r>
          </w:p>
        </w:tc>
        <w:tc>
          <w:tcPr>
            <w:tcW w:w="1346" w:type="dxa"/>
            <w:shd w:val="clear" w:color="auto" w:fill="D9D9D9"/>
          </w:tcPr>
          <w:p w14:paraId="74BDC1C7" w14:textId="65E62E57" w:rsidR="00FA47DE" w:rsidRPr="000158B6" w:rsidRDefault="00FA47DE" w:rsidP="00FA47DE">
            <w:pPr>
              <w:spacing w:before="120"/>
              <w:jc w:val="both"/>
              <w:rPr>
                <w:b/>
                <w:sz w:val="20"/>
                <w:szCs w:val="20"/>
              </w:rPr>
            </w:pPr>
            <w:r>
              <w:t>Financijski plan 2025. godine</w:t>
            </w:r>
          </w:p>
        </w:tc>
        <w:tc>
          <w:tcPr>
            <w:tcW w:w="1614" w:type="dxa"/>
            <w:shd w:val="clear" w:color="auto" w:fill="D9D9D9"/>
          </w:tcPr>
          <w:p w14:paraId="2EBFE887" w14:textId="12FAED25" w:rsidR="00FA47DE" w:rsidRPr="000158B6" w:rsidRDefault="00FA47DE" w:rsidP="00FA47DE">
            <w:pPr>
              <w:spacing w:before="120"/>
              <w:jc w:val="both"/>
              <w:rPr>
                <w:b/>
                <w:sz w:val="20"/>
                <w:szCs w:val="20"/>
              </w:rPr>
            </w:pPr>
            <w:r>
              <w:t>Financijski plana 2025. – 1. rebalans</w:t>
            </w:r>
          </w:p>
        </w:tc>
        <w:tc>
          <w:tcPr>
            <w:tcW w:w="1712" w:type="dxa"/>
            <w:shd w:val="clear" w:color="auto" w:fill="D9D9D9"/>
          </w:tcPr>
          <w:p w14:paraId="134858FD" w14:textId="20F9046F" w:rsidR="00FA47DE" w:rsidRPr="000158B6" w:rsidRDefault="00FA47DE" w:rsidP="00FA47DE">
            <w:pPr>
              <w:spacing w:before="120"/>
              <w:jc w:val="both"/>
              <w:rPr>
                <w:b/>
                <w:sz w:val="20"/>
                <w:szCs w:val="20"/>
              </w:rPr>
            </w:pPr>
            <w:r>
              <w:t>Izvršenje financijskog plana 01.01.2025. – 30.06.2025.</w:t>
            </w:r>
          </w:p>
        </w:tc>
        <w:tc>
          <w:tcPr>
            <w:tcW w:w="1241" w:type="dxa"/>
            <w:shd w:val="clear" w:color="auto" w:fill="D9D9D9"/>
          </w:tcPr>
          <w:p w14:paraId="598AA27F" w14:textId="08B29A96" w:rsidR="00FA47DE" w:rsidRPr="000158B6" w:rsidRDefault="00FA47DE" w:rsidP="00FA47DE">
            <w:pPr>
              <w:spacing w:before="120"/>
              <w:jc w:val="both"/>
              <w:rPr>
                <w:b/>
                <w:sz w:val="20"/>
                <w:szCs w:val="20"/>
              </w:rPr>
            </w:pPr>
            <w:r>
              <w:t>Izvršenje u odnosu na 2024.g.</w:t>
            </w:r>
          </w:p>
        </w:tc>
        <w:tc>
          <w:tcPr>
            <w:tcW w:w="1196" w:type="dxa"/>
            <w:shd w:val="clear" w:color="auto" w:fill="D9D9D9"/>
          </w:tcPr>
          <w:p w14:paraId="46E11C72" w14:textId="77777777" w:rsidR="00FA47DE" w:rsidRDefault="00FA47DE" w:rsidP="00FA47DE">
            <w:r>
              <w:t xml:space="preserve">Izvršenje u odnosu na </w:t>
            </w:r>
            <w:proofErr w:type="spellStart"/>
            <w:r>
              <w:t>fin.plan</w:t>
            </w:r>
            <w:proofErr w:type="spellEnd"/>
            <w:r>
              <w:t xml:space="preserve"> za 2025.g. (1. rebalans)</w:t>
            </w:r>
          </w:p>
          <w:p w14:paraId="39ED5179" w14:textId="77777777" w:rsidR="00FA47DE" w:rsidRPr="000158B6" w:rsidRDefault="00FA47DE" w:rsidP="00FA47DE">
            <w:pPr>
              <w:spacing w:before="120"/>
              <w:jc w:val="both"/>
              <w:rPr>
                <w:b/>
                <w:sz w:val="20"/>
                <w:szCs w:val="20"/>
              </w:rPr>
            </w:pPr>
          </w:p>
        </w:tc>
      </w:tr>
      <w:tr w:rsidR="00D0158C" w:rsidRPr="000158B6" w14:paraId="71BACFC2" w14:textId="77777777" w:rsidTr="00197BCE">
        <w:trPr>
          <w:trHeight w:val="737"/>
          <w:jc w:val="center"/>
        </w:trPr>
        <w:tc>
          <w:tcPr>
            <w:tcW w:w="1121" w:type="dxa"/>
          </w:tcPr>
          <w:p w14:paraId="2A665319" w14:textId="77777777" w:rsidR="00D0158C" w:rsidRPr="000158B6" w:rsidRDefault="00D0158C" w:rsidP="00197BCE">
            <w:pPr>
              <w:spacing w:before="120"/>
              <w:jc w:val="both"/>
              <w:rPr>
                <w:b/>
                <w:sz w:val="20"/>
                <w:szCs w:val="20"/>
              </w:rPr>
            </w:pPr>
            <w:r w:rsidRPr="000158B6">
              <w:rPr>
                <w:b/>
                <w:sz w:val="20"/>
                <w:szCs w:val="20"/>
              </w:rPr>
              <w:t>Šifra programa</w:t>
            </w:r>
          </w:p>
          <w:p w14:paraId="328EB249" w14:textId="77777777" w:rsidR="00D0158C" w:rsidRPr="000158B6" w:rsidRDefault="00D0158C" w:rsidP="00197BCE">
            <w:pPr>
              <w:spacing w:before="120"/>
              <w:jc w:val="both"/>
              <w:rPr>
                <w:b/>
                <w:sz w:val="20"/>
                <w:szCs w:val="20"/>
              </w:rPr>
            </w:pPr>
            <w:r>
              <w:rPr>
                <w:b/>
                <w:sz w:val="20"/>
                <w:szCs w:val="20"/>
              </w:rPr>
              <w:t>T</w:t>
            </w:r>
            <w:r w:rsidRPr="000158B6">
              <w:rPr>
                <w:b/>
                <w:sz w:val="20"/>
                <w:szCs w:val="20"/>
              </w:rPr>
              <w:t>2514</w:t>
            </w:r>
            <w:r>
              <w:rPr>
                <w:b/>
                <w:sz w:val="20"/>
                <w:szCs w:val="20"/>
              </w:rPr>
              <w:t>-04</w:t>
            </w:r>
          </w:p>
        </w:tc>
        <w:tc>
          <w:tcPr>
            <w:tcW w:w="1404" w:type="dxa"/>
          </w:tcPr>
          <w:p w14:paraId="275A69F2" w14:textId="54154872" w:rsidR="00D0158C" w:rsidRPr="000158B6" w:rsidRDefault="00662758" w:rsidP="00197BCE">
            <w:pPr>
              <w:spacing w:before="120"/>
              <w:jc w:val="both"/>
              <w:rPr>
                <w:b/>
                <w:sz w:val="20"/>
                <w:szCs w:val="20"/>
              </w:rPr>
            </w:pPr>
            <w:r>
              <w:rPr>
                <w:b/>
                <w:sz w:val="20"/>
                <w:szCs w:val="20"/>
              </w:rPr>
              <w:t>0,00</w:t>
            </w:r>
          </w:p>
        </w:tc>
        <w:tc>
          <w:tcPr>
            <w:tcW w:w="1346" w:type="dxa"/>
          </w:tcPr>
          <w:p w14:paraId="529F3112" w14:textId="4F892C3B" w:rsidR="00D0158C" w:rsidRPr="000158B6" w:rsidRDefault="00662758" w:rsidP="00197BCE">
            <w:pPr>
              <w:spacing w:before="120"/>
              <w:jc w:val="both"/>
              <w:rPr>
                <w:b/>
                <w:sz w:val="20"/>
                <w:szCs w:val="20"/>
              </w:rPr>
            </w:pPr>
            <w:r>
              <w:rPr>
                <w:b/>
                <w:sz w:val="20"/>
                <w:szCs w:val="20"/>
              </w:rPr>
              <w:t>69.304,40</w:t>
            </w:r>
          </w:p>
        </w:tc>
        <w:tc>
          <w:tcPr>
            <w:tcW w:w="1614" w:type="dxa"/>
          </w:tcPr>
          <w:p w14:paraId="402A564E" w14:textId="5C72C613" w:rsidR="00D0158C" w:rsidRPr="000158B6" w:rsidRDefault="00662758" w:rsidP="00197BCE">
            <w:pPr>
              <w:spacing w:before="120"/>
              <w:jc w:val="both"/>
              <w:rPr>
                <w:b/>
                <w:sz w:val="20"/>
                <w:szCs w:val="20"/>
              </w:rPr>
            </w:pPr>
            <w:r>
              <w:rPr>
                <w:b/>
                <w:sz w:val="20"/>
                <w:szCs w:val="20"/>
              </w:rPr>
              <w:t>69.304,40</w:t>
            </w:r>
          </w:p>
        </w:tc>
        <w:tc>
          <w:tcPr>
            <w:tcW w:w="1712" w:type="dxa"/>
          </w:tcPr>
          <w:p w14:paraId="333DD537" w14:textId="3A259D4C" w:rsidR="00D0158C" w:rsidRPr="000158B6" w:rsidRDefault="00662758" w:rsidP="00197BCE">
            <w:pPr>
              <w:spacing w:before="120"/>
              <w:jc w:val="both"/>
              <w:rPr>
                <w:b/>
                <w:sz w:val="20"/>
                <w:szCs w:val="20"/>
              </w:rPr>
            </w:pPr>
            <w:r>
              <w:rPr>
                <w:b/>
                <w:sz w:val="20"/>
                <w:szCs w:val="20"/>
              </w:rPr>
              <w:t>31.502,61</w:t>
            </w:r>
          </w:p>
        </w:tc>
        <w:tc>
          <w:tcPr>
            <w:tcW w:w="1241" w:type="dxa"/>
          </w:tcPr>
          <w:p w14:paraId="66296184" w14:textId="501030A5" w:rsidR="00D0158C" w:rsidRPr="000158B6" w:rsidRDefault="00662758" w:rsidP="00197BCE">
            <w:pPr>
              <w:spacing w:before="120"/>
              <w:jc w:val="both"/>
              <w:rPr>
                <w:b/>
                <w:sz w:val="20"/>
                <w:szCs w:val="20"/>
              </w:rPr>
            </w:pPr>
            <w:r>
              <w:rPr>
                <w:b/>
                <w:sz w:val="20"/>
                <w:szCs w:val="20"/>
              </w:rPr>
              <w:t>0</w:t>
            </w:r>
          </w:p>
        </w:tc>
        <w:tc>
          <w:tcPr>
            <w:tcW w:w="1196" w:type="dxa"/>
          </w:tcPr>
          <w:p w14:paraId="5C8EEA2E" w14:textId="18270116" w:rsidR="00D0158C" w:rsidRPr="000158B6" w:rsidRDefault="00662758" w:rsidP="00197BCE">
            <w:pPr>
              <w:spacing w:before="120"/>
              <w:jc w:val="both"/>
              <w:rPr>
                <w:b/>
                <w:sz w:val="20"/>
                <w:szCs w:val="20"/>
              </w:rPr>
            </w:pPr>
            <w:r>
              <w:rPr>
                <w:b/>
                <w:sz w:val="20"/>
                <w:szCs w:val="20"/>
              </w:rPr>
              <w:t>45,46</w:t>
            </w:r>
          </w:p>
        </w:tc>
      </w:tr>
    </w:tbl>
    <w:p w14:paraId="4D22C3B8" w14:textId="77777777" w:rsidR="005F7568" w:rsidRDefault="005F7568" w:rsidP="00D0158C">
      <w:pPr>
        <w:pStyle w:val="Tijeloteksta"/>
        <w:ind w:left="1440" w:right="1259"/>
        <w:jc w:val="both"/>
      </w:pPr>
    </w:p>
    <w:p w14:paraId="64416F25" w14:textId="77777777" w:rsidR="009D4212" w:rsidRDefault="009D4212" w:rsidP="00D0158C">
      <w:pPr>
        <w:pStyle w:val="Tijeloteksta"/>
        <w:ind w:left="1440" w:right="1259"/>
        <w:jc w:val="both"/>
      </w:pPr>
    </w:p>
    <w:p w14:paraId="62109EC5" w14:textId="77777777" w:rsidR="00D0158C" w:rsidRDefault="00D0158C" w:rsidP="00D0158C">
      <w:pPr>
        <w:pStyle w:val="Tijeloteksta"/>
        <w:ind w:left="1440" w:right="1259"/>
        <w:jc w:val="both"/>
      </w:pPr>
      <w:r>
        <w:lastRenderedPageBreak/>
        <w:t>Preventivni program „Trening životnih vještina“ se provodi u osnovnim školama na području Zadarske županije tijekom trajanja školske godine, a financira se minimalno 15% vlastitim sredstvima Zavoda, dok su 85% sredstava osiguravali naručitelji, Grad Zadar i Zadarska županija.</w:t>
      </w:r>
    </w:p>
    <w:p w14:paraId="1B16673D" w14:textId="77777777" w:rsidR="000B2138" w:rsidRDefault="000B2138" w:rsidP="00D0158C">
      <w:pPr>
        <w:pStyle w:val="Tijeloteksta"/>
        <w:ind w:left="1440" w:right="1259"/>
        <w:jc w:val="both"/>
      </w:pPr>
    </w:p>
    <w:p w14:paraId="229F737F" w14:textId="2783CCF5" w:rsidR="00F03BDA" w:rsidRDefault="00D0158C" w:rsidP="00D0158C">
      <w:pPr>
        <w:pStyle w:val="Tijeloteksta"/>
        <w:ind w:left="1440" w:right="1259"/>
        <w:jc w:val="both"/>
      </w:pPr>
      <w:r>
        <w:t xml:space="preserve">Izvršenja za navedeni program </w:t>
      </w:r>
      <w:r w:rsidR="00847091">
        <w:t>u 2025.g.</w:t>
      </w:r>
      <w:r w:rsidR="000B2138">
        <w:t xml:space="preserve"> je</w:t>
      </w:r>
      <w:r w:rsidR="00847091">
        <w:t xml:space="preserve"> </w:t>
      </w:r>
      <w:r w:rsidR="000B2138">
        <w:t>sukladno</w:t>
      </w:r>
      <w:r w:rsidR="00847091">
        <w:t xml:space="preserve"> ugovoren</w:t>
      </w:r>
      <w:r w:rsidR="000B2138">
        <w:t>oj dinamici</w:t>
      </w:r>
      <w:r w:rsidR="00847091">
        <w:t xml:space="preserve"> provedbe programa, dok istog </w:t>
      </w:r>
      <w:r>
        <w:t>u 2024.godini nije bilo</w:t>
      </w:r>
      <w:r w:rsidR="00847091">
        <w:t>,</w:t>
      </w:r>
      <w:r>
        <w:t xml:space="preserve"> budući ugovor za navedeni program za školsku godinu 2023/2024 nije potpisan.</w:t>
      </w:r>
    </w:p>
    <w:p w14:paraId="60C7C7C5" w14:textId="77777777" w:rsidR="00D0158C" w:rsidRDefault="00D0158C" w:rsidP="00D0158C">
      <w:pPr>
        <w:pStyle w:val="Tijeloteksta"/>
        <w:ind w:left="1440" w:right="1259"/>
        <w:jc w:val="both"/>
      </w:pPr>
    </w:p>
    <w:p w14:paraId="0C496943" w14:textId="77777777" w:rsidR="00D0158C" w:rsidRPr="005D4791" w:rsidRDefault="00D0158C" w:rsidP="00D0158C">
      <w:pPr>
        <w:pStyle w:val="Tijeloteksta"/>
        <w:ind w:left="1440" w:right="1259"/>
        <w:jc w:val="both"/>
        <w:rPr>
          <w:b/>
        </w:rPr>
      </w:pPr>
      <w:r w:rsidRPr="005D4791">
        <w:rPr>
          <w:b/>
        </w:rPr>
        <w:t xml:space="preserve">Opis projekta/aktivnosti: </w:t>
      </w:r>
    </w:p>
    <w:p w14:paraId="7757F2C6" w14:textId="77777777" w:rsidR="00D0158C" w:rsidRDefault="00D0158C" w:rsidP="00D0158C">
      <w:pPr>
        <w:pStyle w:val="Tijeloteksta"/>
        <w:ind w:left="1440" w:right="1259"/>
        <w:jc w:val="both"/>
      </w:pPr>
      <w:r>
        <w:t xml:space="preserve">Trening životnih vještina (skraćeno TŽV) je školski preventivni program razvijen od strane vodećeg američkog stručnjaka u području prevencijske znanosti nastao na osnovu rezultata 30 znanstvenih studija. </w:t>
      </w:r>
    </w:p>
    <w:p w14:paraId="1F10C5B3" w14:textId="0409820E" w:rsidR="00D0158C" w:rsidRDefault="00D0158C" w:rsidP="00D0158C">
      <w:pPr>
        <w:pStyle w:val="Tijeloteksta"/>
        <w:ind w:left="1440" w:right="1259"/>
        <w:jc w:val="both"/>
      </w:pPr>
      <w:r>
        <w:t>Trening životnih vještina je program univerzalne prevencije rizičnih ponašanja (pušenja, alkohola i zlouporabe droga) namijenjen učenicima šestih i sedmih razreda osnovne škole, koji za cilj ima smanjenje učestalosti i intenziteta konzumiranja sredstava ovisnosti, kao i odgodu prvog konzumiranja.</w:t>
      </w:r>
    </w:p>
    <w:p w14:paraId="52E56B2B" w14:textId="77777777" w:rsidR="005D4791" w:rsidRDefault="005D4791" w:rsidP="00D0158C">
      <w:pPr>
        <w:pStyle w:val="Tijeloteksta"/>
        <w:ind w:left="1440" w:right="1259"/>
        <w:jc w:val="both"/>
      </w:pPr>
    </w:p>
    <w:p w14:paraId="1E531C21" w14:textId="77777777" w:rsidR="005D4791" w:rsidRPr="005D4791" w:rsidRDefault="005D4791" w:rsidP="005D4791">
      <w:pPr>
        <w:pStyle w:val="Tijeloteksta"/>
        <w:ind w:left="1440" w:right="1259"/>
        <w:jc w:val="both"/>
        <w:rPr>
          <w:b/>
        </w:rPr>
      </w:pPr>
      <w:r w:rsidRPr="005D4791">
        <w:rPr>
          <w:b/>
        </w:rPr>
        <w:t xml:space="preserve">Svrha provedbe </w:t>
      </w:r>
    </w:p>
    <w:p w14:paraId="0C435C40" w14:textId="39B3DDBD" w:rsidR="005D4791" w:rsidRDefault="005D4791" w:rsidP="005D4791">
      <w:pPr>
        <w:pStyle w:val="Tijeloteksta"/>
        <w:ind w:left="1440" w:right="1259"/>
        <w:jc w:val="both"/>
      </w:pPr>
      <w:r>
        <w:t>Za razliku od tradicionalnih programa prevencije koji se temelje na pružanju informacija, ”TŽV” se temelji na razvoju osobina i uvježbavanju vještina koje su se u dosadašnjim istraživanjima pokazale važnim u sprječavanju razvoja ovisničkog ponašanja.</w:t>
      </w:r>
    </w:p>
    <w:p w14:paraId="76E13B7B" w14:textId="77777777" w:rsidR="005D4791" w:rsidRDefault="005D4791" w:rsidP="005D4791">
      <w:pPr>
        <w:pStyle w:val="Tijeloteksta"/>
        <w:ind w:left="1440" w:right="1259"/>
        <w:jc w:val="both"/>
      </w:pPr>
    </w:p>
    <w:p w14:paraId="59E57631" w14:textId="77777777" w:rsidR="005D4791" w:rsidRPr="005D4791" w:rsidRDefault="005D4791" w:rsidP="005D4791">
      <w:pPr>
        <w:pStyle w:val="Tijeloteksta"/>
        <w:ind w:left="1440" w:right="1259"/>
        <w:jc w:val="both"/>
        <w:rPr>
          <w:b/>
        </w:rPr>
      </w:pPr>
      <w:r w:rsidRPr="005D4791">
        <w:rPr>
          <w:b/>
        </w:rPr>
        <w:t>Ključne aktivnosti</w:t>
      </w:r>
    </w:p>
    <w:p w14:paraId="52F4225F" w14:textId="77777777" w:rsidR="005D4791" w:rsidRDefault="005D4791" w:rsidP="005D4791">
      <w:pPr>
        <w:pStyle w:val="Tijeloteksta"/>
        <w:ind w:left="1440" w:right="1259"/>
        <w:jc w:val="both"/>
      </w:pPr>
      <w:r>
        <w:t>Ključne projektne/programske aktivnosti:</w:t>
      </w:r>
    </w:p>
    <w:p w14:paraId="7AD777EA" w14:textId="0482A5A2" w:rsidR="005D4791" w:rsidRDefault="005D4791" w:rsidP="005D4791">
      <w:pPr>
        <w:pStyle w:val="Tijeloteksta"/>
        <w:ind w:left="1440" w:right="1259"/>
        <w:jc w:val="both"/>
      </w:pPr>
      <w:r>
        <w:tab/>
        <w:t xml:space="preserve">•Priprema nositelja aktivnosti, organizacija dodatne edukacije za voditelje/koordinatore </w:t>
      </w:r>
      <w:r>
        <w:tab/>
        <w:t>programa, djelatnike škola i roditelje učenika uključenih u program</w:t>
      </w:r>
    </w:p>
    <w:p w14:paraId="3720514E" w14:textId="2318EFAD" w:rsidR="005D4791" w:rsidRDefault="005D4791" w:rsidP="005D4791">
      <w:pPr>
        <w:pStyle w:val="Tijeloteksta"/>
        <w:ind w:left="1440" w:right="1259"/>
        <w:jc w:val="both"/>
      </w:pPr>
      <w:r>
        <w:tab/>
        <w:t xml:space="preserve">•Edukacija za voditelje/koordinatore programa, djelatnike škola i roditelje učenika </w:t>
      </w:r>
      <w:r>
        <w:tab/>
        <w:t>uključenih u programa</w:t>
      </w:r>
    </w:p>
    <w:p w14:paraId="6DDBFC91" w14:textId="2309A001" w:rsidR="005D4791" w:rsidRDefault="005D4791" w:rsidP="005D4791">
      <w:pPr>
        <w:pStyle w:val="Tijeloteksta"/>
        <w:ind w:left="1440" w:right="1259"/>
        <w:jc w:val="both"/>
      </w:pPr>
      <w:r>
        <w:tab/>
        <w:t xml:space="preserve">•Radionice s učenicima 3. i 4. razreda (plan je povećati broj razreda sa dva na četiri, a što </w:t>
      </w:r>
      <w:r>
        <w:tab/>
        <w:t xml:space="preserve">će ovisiti o financijskim sredstvima od strane Zadarske županije i Grada </w:t>
      </w:r>
      <w:proofErr w:type="spellStart"/>
      <w:r>
        <w:t>Zadara</w:t>
      </w:r>
      <w:proofErr w:type="spellEnd"/>
      <w:r>
        <w:t>)</w:t>
      </w:r>
    </w:p>
    <w:p w14:paraId="2B7541B6" w14:textId="56886A16" w:rsidR="005D4791" w:rsidRDefault="005D4791" w:rsidP="005D4791">
      <w:pPr>
        <w:pStyle w:val="Tijeloteksta"/>
        <w:ind w:left="1440" w:right="1259"/>
        <w:jc w:val="both"/>
      </w:pPr>
      <w:r>
        <w:tab/>
        <w:t>•Izvještavanje putem medija o provedbi programa</w:t>
      </w:r>
    </w:p>
    <w:p w14:paraId="4C66A07C" w14:textId="11C0353F" w:rsidR="005D4791" w:rsidRDefault="005D4791" w:rsidP="005D4791">
      <w:pPr>
        <w:pStyle w:val="Tijeloteksta"/>
        <w:ind w:left="1440" w:right="1259"/>
        <w:jc w:val="both"/>
      </w:pPr>
      <w:r>
        <w:tab/>
        <w:t>•Evaluacija programa</w:t>
      </w:r>
    </w:p>
    <w:p w14:paraId="69D0B284" w14:textId="3B551D3F" w:rsidR="005D4791" w:rsidRPr="000E626C" w:rsidRDefault="00FD5131" w:rsidP="005D4791">
      <w:pPr>
        <w:pStyle w:val="Tijeloteksta"/>
        <w:ind w:left="1440" w:right="1259"/>
        <w:jc w:val="both"/>
        <w:sectPr w:rsidR="005D4791" w:rsidRPr="000E626C">
          <w:footerReference w:type="default" r:id="rId9"/>
          <w:pgSz w:w="11910" w:h="16840"/>
          <w:pgMar w:top="760" w:right="2" w:bottom="280" w:left="0" w:header="720" w:footer="720" w:gutter="0"/>
          <w:cols w:space="720"/>
        </w:sectPr>
      </w:pPr>
      <w:r>
        <w:tab/>
        <w:t>•Izrada izvješća</w:t>
      </w:r>
    </w:p>
    <w:p w14:paraId="6B354DFA" w14:textId="77777777" w:rsidR="00675EED" w:rsidRDefault="00675EED" w:rsidP="003D1413">
      <w:pPr>
        <w:pStyle w:val="Tijeloteksta"/>
        <w:spacing w:before="8"/>
        <w:rPr>
          <w:b/>
          <w:sz w:val="10"/>
        </w:rPr>
      </w:pPr>
    </w:p>
    <w:p w14:paraId="76AA745D" w14:textId="77777777" w:rsidR="005E7EA1" w:rsidRDefault="005E7EA1" w:rsidP="005E7EA1">
      <w:pPr>
        <w:adjustRightInd w:val="0"/>
        <w:jc w:val="both"/>
        <w:rPr>
          <w:b/>
          <w:bCs/>
          <w:sz w:val="24"/>
          <w:szCs w:val="24"/>
        </w:rPr>
      </w:pPr>
      <w:r>
        <w:rPr>
          <w:b/>
          <w:bCs/>
          <w:sz w:val="24"/>
          <w:szCs w:val="24"/>
        </w:rPr>
        <w:t>Pokazatelj rezultata</w:t>
      </w:r>
    </w:p>
    <w:p w14:paraId="043F135B" w14:textId="77777777" w:rsidR="005E7EA1" w:rsidRPr="006323F2" w:rsidRDefault="005E7EA1" w:rsidP="005E7EA1">
      <w:pPr>
        <w:adjustRightInd w:val="0"/>
        <w:jc w:val="both"/>
        <w:rPr>
          <w:b/>
          <w:bCs/>
          <w:sz w:val="24"/>
          <w:szCs w:val="24"/>
        </w:rPr>
      </w:pPr>
      <w:r w:rsidRPr="006323F2">
        <w:rPr>
          <w:rFonts w:eastAsia="Calibri"/>
          <w:sz w:val="24"/>
          <w:szCs w:val="24"/>
        </w:rPr>
        <w:t>Rezultati evaluacijskih istraživanja „Treninga životnih vještina“ koja su provedena  i u inozemstvu, i kod nas ukazuju na slijedeće:</w:t>
      </w:r>
    </w:p>
    <w:p w14:paraId="02D633CC" w14:textId="77777777" w:rsidR="005E7EA1" w:rsidRPr="006323F2" w:rsidRDefault="005E7EA1" w:rsidP="005E7EA1">
      <w:pPr>
        <w:widowControl/>
        <w:numPr>
          <w:ilvl w:val="0"/>
          <w:numId w:val="16"/>
        </w:numPr>
        <w:autoSpaceDE/>
        <w:autoSpaceDN/>
        <w:ind w:left="913" w:right="147" w:hanging="357"/>
        <w:jc w:val="both"/>
        <w:rPr>
          <w:sz w:val="24"/>
          <w:szCs w:val="24"/>
          <w:lang w:eastAsia="hr-HR"/>
        </w:rPr>
      </w:pPr>
      <w:r w:rsidRPr="006323F2">
        <w:rPr>
          <w:sz w:val="24"/>
          <w:szCs w:val="24"/>
          <w:lang w:eastAsia="hr-HR"/>
        </w:rPr>
        <w:t xml:space="preserve">smanjenje uporabe duhana, alkohola i marihuane do 75%.  </w:t>
      </w:r>
    </w:p>
    <w:p w14:paraId="6E8DD340" w14:textId="77777777" w:rsidR="005E7EA1" w:rsidRPr="006323F2" w:rsidRDefault="005E7EA1" w:rsidP="005E7EA1">
      <w:pPr>
        <w:widowControl/>
        <w:numPr>
          <w:ilvl w:val="0"/>
          <w:numId w:val="16"/>
        </w:numPr>
        <w:autoSpaceDE/>
        <w:autoSpaceDN/>
        <w:ind w:left="913" w:right="147" w:hanging="357"/>
        <w:jc w:val="both"/>
        <w:rPr>
          <w:sz w:val="24"/>
          <w:szCs w:val="24"/>
          <w:lang w:eastAsia="hr-HR"/>
        </w:rPr>
      </w:pPr>
      <w:r w:rsidRPr="006323F2">
        <w:rPr>
          <w:sz w:val="24"/>
          <w:szCs w:val="24"/>
          <w:lang w:eastAsia="hr-HR"/>
        </w:rPr>
        <w:t>dodatne radionice održavaju efekte prevencije</w:t>
      </w:r>
    </w:p>
    <w:p w14:paraId="51EE3CA8" w14:textId="77777777" w:rsidR="005E7EA1" w:rsidRPr="006323F2" w:rsidRDefault="005E7EA1" w:rsidP="005E7EA1">
      <w:pPr>
        <w:widowControl/>
        <w:numPr>
          <w:ilvl w:val="0"/>
          <w:numId w:val="16"/>
        </w:numPr>
        <w:autoSpaceDE/>
        <w:autoSpaceDN/>
        <w:ind w:left="913" w:right="147" w:hanging="357"/>
        <w:jc w:val="both"/>
        <w:rPr>
          <w:sz w:val="24"/>
          <w:szCs w:val="24"/>
          <w:lang w:eastAsia="hr-HR"/>
        </w:rPr>
      </w:pPr>
      <w:r w:rsidRPr="006323F2">
        <w:rPr>
          <w:sz w:val="24"/>
          <w:szCs w:val="24"/>
          <w:lang w:eastAsia="hr-HR"/>
        </w:rPr>
        <w:t>efekti traju do 6 godina</w:t>
      </w:r>
    </w:p>
    <w:p w14:paraId="3B99D3EB" w14:textId="77777777" w:rsidR="005E7EA1" w:rsidRPr="006323F2" w:rsidRDefault="005E7EA1" w:rsidP="005E7EA1">
      <w:pPr>
        <w:widowControl/>
        <w:numPr>
          <w:ilvl w:val="0"/>
          <w:numId w:val="16"/>
        </w:numPr>
        <w:autoSpaceDE/>
        <w:autoSpaceDN/>
        <w:ind w:left="913" w:right="147" w:hanging="357"/>
        <w:jc w:val="both"/>
        <w:rPr>
          <w:sz w:val="24"/>
          <w:szCs w:val="24"/>
          <w:lang w:eastAsia="hr-HR"/>
        </w:rPr>
      </w:pPr>
      <w:r w:rsidRPr="006323F2">
        <w:rPr>
          <w:sz w:val="24"/>
          <w:szCs w:val="24"/>
          <w:lang w:eastAsia="hr-HR"/>
        </w:rPr>
        <w:t>smanjuje se kombinirana uporaba više droga do 66%</w:t>
      </w:r>
    </w:p>
    <w:p w14:paraId="1763C4E0" w14:textId="77777777" w:rsidR="005E7EA1" w:rsidRPr="006323F2" w:rsidRDefault="005E7EA1" w:rsidP="005E7EA1">
      <w:pPr>
        <w:widowControl/>
        <w:numPr>
          <w:ilvl w:val="0"/>
          <w:numId w:val="16"/>
        </w:numPr>
        <w:autoSpaceDE/>
        <w:autoSpaceDN/>
        <w:ind w:left="913" w:right="147" w:hanging="357"/>
        <w:jc w:val="both"/>
        <w:rPr>
          <w:sz w:val="24"/>
          <w:szCs w:val="24"/>
          <w:lang w:eastAsia="hr-HR"/>
        </w:rPr>
      </w:pPr>
      <w:r w:rsidRPr="006323F2">
        <w:rPr>
          <w:sz w:val="24"/>
          <w:szCs w:val="24"/>
          <w:lang w:eastAsia="hr-HR"/>
        </w:rPr>
        <w:t xml:space="preserve">smanjuje se korištenje </w:t>
      </w:r>
      <w:proofErr w:type="spellStart"/>
      <w:r w:rsidRPr="006323F2">
        <w:rPr>
          <w:sz w:val="24"/>
          <w:szCs w:val="24"/>
          <w:lang w:eastAsia="hr-HR"/>
        </w:rPr>
        <w:t>inhalanata</w:t>
      </w:r>
      <w:proofErr w:type="spellEnd"/>
      <w:r w:rsidRPr="006323F2">
        <w:rPr>
          <w:sz w:val="24"/>
          <w:szCs w:val="24"/>
          <w:lang w:eastAsia="hr-HR"/>
        </w:rPr>
        <w:t>, opojnih sredstava i halucinogena</w:t>
      </w:r>
    </w:p>
    <w:p w14:paraId="69848B6E" w14:textId="77777777" w:rsidR="005E7EA1" w:rsidRDefault="005E7EA1" w:rsidP="005E7EA1">
      <w:pPr>
        <w:widowControl/>
        <w:numPr>
          <w:ilvl w:val="0"/>
          <w:numId w:val="16"/>
        </w:numPr>
        <w:autoSpaceDE/>
        <w:autoSpaceDN/>
        <w:ind w:left="913" w:right="147" w:hanging="357"/>
        <w:rPr>
          <w:sz w:val="24"/>
          <w:szCs w:val="24"/>
          <w:lang w:eastAsia="hr-HR"/>
        </w:rPr>
      </w:pPr>
      <w:r w:rsidRPr="006323F2">
        <w:rPr>
          <w:sz w:val="24"/>
          <w:szCs w:val="24"/>
          <w:lang w:eastAsia="hr-HR"/>
        </w:rPr>
        <w:t>djelotvoran je kada ga provode učitelji, vršnjački „vođe“ ili zdravstveni djelatnici.</w:t>
      </w:r>
    </w:p>
    <w:p w14:paraId="22DFFEC1" w14:textId="77777777" w:rsidR="005E7EA1" w:rsidRDefault="005E7EA1" w:rsidP="003D1413">
      <w:pPr>
        <w:pStyle w:val="Tijeloteksta"/>
        <w:rPr>
          <w:sz w:val="26"/>
        </w:rPr>
      </w:pPr>
    </w:p>
    <w:p w14:paraId="29281C37" w14:textId="3C91055D" w:rsidR="005F7568" w:rsidRDefault="002515F0" w:rsidP="003D1413">
      <w:pPr>
        <w:pStyle w:val="Naslov1"/>
        <w:spacing w:before="223"/>
        <w:ind w:left="0"/>
      </w:pPr>
      <w:bookmarkStart w:id="4" w:name="_Hlk147085400"/>
      <w:r>
        <w:t>T2514-06 Mentalno zdravlje za sve</w:t>
      </w:r>
      <w:r w:rsidR="000C7372">
        <w:t xml:space="preserve"> - </w:t>
      </w:r>
      <w:r w:rsidR="00F27957">
        <w:t>m</w:t>
      </w:r>
      <w:r w:rsidR="000C7372" w:rsidRPr="000C7372">
        <w:t>ijenja naziv u Mreža zdravlja– Aktivnost 2514-13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FA47DE" w:rsidRPr="000158B6" w14:paraId="7F6396FF" w14:textId="77777777" w:rsidTr="004D5306">
        <w:trPr>
          <w:trHeight w:val="1154"/>
          <w:jc w:val="center"/>
        </w:trPr>
        <w:tc>
          <w:tcPr>
            <w:tcW w:w="1260" w:type="dxa"/>
            <w:shd w:val="clear" w:color="auto" w:fill="D9D9D9"/>
          </w:tcPr>
          <w:p w14:paraId="7803D24C" w14:textId="24D16035" w:rsidR="00FA47DE" w:rsidRPr="000158B6" w:rsidRDefault="00FA47DE" w:rsidP="00FA47DE">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45A798FB" w14:textId="20C2EEE6" w:rsidR="00FA47DE" w:rsidRPr="000158B6" w:rsidRDefault="00FA47DE" w:rsidP="00FA47DE">
            <w:pPr>
              <w:spacing w:before="120"/>
              <w:jc w:val="both"/>
              <w:rPr>
                <w:b/>
                <w:sz w:val="20"/>
                <w:szCs w:val="20"/>
              </w:rPr>
            </w:pPr>
            <w:r>
              <w:t>Izvršenje financijskog plana 01.01.2024.-30.06.2024.</w:t>
            </w:r>
          </w:p>
        </w:tc>
        <w:tc>
          <w:tcPr>
            <w:tcW w:w="1371" w:type="dxa"/>
            <w:shd w:val="clear" w:color="auto" w:fill="D9D9D9"/>
          </w:tcPr>
          <w:p w14:paraId="49A4BA43" w14:textId="31247845" w:rsidR="00FA47DE" w:rsidRPr="000158B6" w:rsidRDefault="00FA47DE" w:rsidP="00FA47DE">
            <w:pPr>
              <w:spacing w:before="120"/>
              <w:jc w:val="both"/>
              <w:rPr>
                <w:b/>
                <w:sz w:val="20"/>
                <w:szCs w:val="20"/>
              </w:rPr>
            </w:pPr>
            <w:r>
              <w:t>Financijski plan 2025. godine</w:t>
            </w:r>
          </w:p>
        </w:tc>
        <w:tc>
          <w:tcPr>
            <w:tcW w:w="1683" w:type="dxa"/>
            <w:shd w:val="clear" w:color="auto" w:fill="D9D9D9"/>
          </w:tcPr>
          <w:p w14:paraId="4F8A7774" w14:textId="69B1EF18" w:rsidR="00FA47DE" w:rsidRPr="000158B6" w:rsidRDefault="00FA47DE" w:rsidP="00FA47DE">
            <w:pPr>
              <w:spacing w:before="120"/>
              <w:jc w:val="both"/>
              <w:rPr>
                <w:b/>
                <w:sz w:val="20"/>
                <w:szCs w:val="20"/>
              </w:rPr>
            </w:pPr>
            <w:r>
              <w:t>Financijski plana 2025. – 1. rebalans</w:t>
            </w:r>
          </w:p>
        </w:tc>
        <w:tc>
          <w:tcPr>
            <w:tcW w:w="1779" w:type="dxa"/>
            <w:shd w:val="clear" w:color="auto" w:fill="D9D9D9"/>
          </w:tcPr>
          <w:p w14:paraId="0E157230" w14:textId="10D55B15" w:rsidR="00FA47DE" w:rsidRPr="000158B6" w:rsidRDefault="00FA47DE" w:rsidP="00FA47DE">
            <w:pPr>
              <w:spacing w:before="120"/>
              <w:jc w:val="both"/>
              <w:rPr>
                <w:b/>
                <w:sz w:val="20"/>
                <w:szCs w:val="20"/>
              </w:rPr>
            </w:pPr>
            <w:r>
              <w:t>Izvršenje financijskog plana 01.01.2025. – 30.06.2025.</w:t>
            </w:r>
          </w:p>
        </w:tc>
        <w:tc>
          <w:tcPr>
            <w:tcW w:w="1276" w:type="dxa"/>
            <w:shd w:val="clear" w:color="auto" w:fill="D9D9D9"/>
          </w:tcPr>
          <w:p w14:paraId="67CA5521" w14:textId="6DB30356" w:rsidR="00FA47DE" w:rsidRPr="000158B6" w:rsidRDefault="00FA47DE" w:rsidP="00FA47DE">
            <w:pPr>
              <w:spacing w:before="120"/>
              <w:jc w:val="both"/>
              <w:rPr>
                <w:b/>
                <w:sz w:val="20"/>
                <w:szCs w:val="20"/>
              </w:rPr>
            </w:pPr>
            <w:r>
              <w:t>Izvršenje u odnosu na 2024.g.</w:t>
            </w:r>
          </w:p>
        </w:tc>
        <w:tc>
          <w:tcPr>
            <w:tcW w:w="1559" w:type="dxa"/>
            <w:shd w:val="clear" w:color="auto" w:fill="D9D9D9"/>
          </w:tcPr>
          <w:p w14:paraId="0793EC36" w14:textId="77777777" w:rsidR="00FA47DE" w:rsidRDefault="00FA47DE" w:rsidP="00FA47DE">
            <w:r>
              <w:t xml:space="preserve">Izvršenje u odnosu na </w:t>
            </w:r>
            <w:proofErr w:type="spellStart"/>
            <w:r>
              <w:t>fin.plan</w:t>
            </w:r>
            <w:proofErr w:type="spellEnd"/>
            <w:r>
              <w:t xml:space="preserve"> za 2025.g. (1. rebalans)</w:t>
            </w:r>
          </w:p>
          <w:p w14:paraId="63599986" w14:textId="77777777" w:rsidR="00FA47DE" w:rsidRPr="000158B6" w:rsidRDefault="00FA47DE" w:rsidP="00FA47DE">
            <w:pPr>
              <w:spacing w:before="120"/>
              <w:jc w:val="both"/>
              <w:rPr>
                <w:b/>
                <w:sz w:val="20"/>
                <w:szCs w:val="20"/>
              </w:rPr>
            </w:pPr>
          </w:p>
        </w:tc>
      </w:tr>
      <w:tr w:rsidR="00C63C9B" w:rsidRPr="000158B6" w14:paraId="609E8A12" w14:textId="77777777" w:rsidTr="004D5306">
        <w:trPr>
          <w:trHeight w:val="737"/>
          <w:jc w:val="center"/>
        </w:trPr>
        <w:tc>
          <w:tcPr>
            <w:tcW w:w="1260" w:type="dxa"/>
          </w:tcPr>
          <w:p w14:paraId="2AA4B55D" w14:textId="77777777" w:rsidR="00C63C9B" w:rsidRPr="000158B6" w:rsidRDefault="00C63C9B" w:rsidP="004D5306">
            <w:pPr>
              <w:spacing w:before="120"/>
              <w:jc w:val="both"/>
              <w:rPr>
                <w:b/>
                <w:sz w:val="20"/>
                <w:szCs w:val="20"/>
              </w:rPr>
            </w:pPr>
            <w:r w:rsidRPr="000158B6">
              <w:rPr>
                <w:b/>
                <w:sz w:val="20"/>
                <w:szCs w:val="20"/>
              </w:rPr>
              <w:t>Šifra programa</w:t>
            </w:r>
          </w:p>
          <w:p w14:paraId="0BCE8D07" w14:textId="53C4D251" w:rsidR="00C63C9B" w:rsidRPr="000158B6" w:rsidRDefault="00C63C9B" w:rsidP="000C7372">
            <w:pPr>
              <w:spacing w:before="120"/>
              <w:jc w:val="both"/>
              <w:rPr>
                <w:b/>
                <w:sz w:val="20"/>
                <w:szCs w:val="20"/>
              </w:rPr>
            </w:pPr>
            <w:r>
              <w:rPr>
                <w:b/>
                <w:sz w:val="20"/>
                <w:szCs w:val="20"/>
              </w:rPr>
              <w:t>T</w:t>
            </w:r>
            <w:r w:rsidRPr="000158B6">
              <w:rPr>
                <w:b/>
                <w:sz w:val="20"/>
                <w:szCs w:val="20"/>
              </w:rPr>
              <w:t>2514</w:t>
            </w:r>
            <w:r>
              <w:rPr>
                <w:b/>
                <w:sz w:val="20"/>
                <w:szCs w:val="20"/>
              </w:rPr>
              <w:t>-</w:t>
            </w:r>
            <w:r w:rsidR="000C7372">
              <w:rPr>
                <w:b/>
                <w:sz w:val="20"/>
                <w:szCs w:val="20"/>
              </w:rPr>
              <w:t>13</w:t>
            </w:r>
          </w:p>
        </w:tc>
        <w:tc>
          <w:tcPr>
            <w:tcW w:w="1415" w:type="dxa"/>
          </w:tcPr>
          <w:p w14:paraId="0E04E9A9" w14:textId="43FB273E" w:rsidR="00C63C9B" w:rsidRPr="000158B6" w:rsidRDefault="00847091" w:rsidP="004D5306">
            <w:pPr>
              <w:spacing w:before="120"/>
              <w:jc w:val="both"/>
              <w:rPr>
                <w:b/>
                <w:sz w:val="20"/>
                <w:szCs w:val="20"/>
              </w:rPr>
            </w:pPr>
            <w:r>
              <w:rPr>
                <w:b/>
                <w:sz w:val="20"/>
                <w:szCs w:val="20"/>
              </w:rPr>
              <w:t>82.659,69</w:t>
            </w:r>
          </w:p>
        </w:tc>
        <w:tc>
          <w:tcPr>
            <w:tcW w:w="1371" w:type="dxa"/>
          </w:tcPr>
          <w:p w14:paraId="6D84C0FF" w14:textId="151D48FF" w:rsidR="00C63C9B" w:rsidRPr="000158B6" w:rsidRDefault="00847091" w:rsidP="004D5306">
            <w:pPr>
              <w:spacing w:before="120"/>
              <w:jc w:val="both"/>
              <w:rPr>
                <w:b/>
                <w:sz w:val="20"/>
                <w:szCs w:val="20"/>
              </w:rPr>
            </w:pPr>
            <w:r>
              <w:rPr>
                <w:b/>
                <w:sz w:val="20"/>
                <w:szCs w:val="20"/>
              </w:rPr>
              <w:t>160.000,00</w:t>
            </w:r>
          </w:p>
        </w:tc>
        <w:tc>
          <w:tcPr>
            <w:tcW w:w="1683" w:type="dxa"/>
          </w:tcPr>
          <w:p w14:paraId="18ECF737" w14:textId="39894851" w:rsidR="00C63C9B" w:rsidRPr="000158B6" w:rsidRDefault="0040414F" w:rsidP="004D5306">
            <w:pPr>
              <w:spacing w:before="120"/>
              <w:jc w:val="both"/>
              <w:rPr>
                <w:b/>
                <w:sz w:val="20"/>
                <w:szCs w:val="20"/>
              </w:rPr>
            </w:pPr>
            <w:r>
              <w:rPr>
                <w:b/>
                <w:sz w:val="20"/>
                <w:szCs w:val="20"/>
              </w:rPr>
              <w:t>156.130,90</w:t>
            </w:r>
          </w:p>
        </w:tc>
        <w:tc>
          <w:tcPr>
            <w:tcW w:w="1779" w:type="dxa"/>
          </w:tcPr>
          <w:p w14:paraId="55D4C721" w14:textId="62A80C76" w:rsidR="00C63C9B" w:rsidRPr="000158B6" w:rsidRDefault="0040414F" w:rsidP="004D5306">
            <w:pPr>
              <w:spacing w:before="120"/>
              <w:jc w:val="both"/>
              <w:rPr>
                <w:b/>
                <w:sz w:val="20"/>
                <w:szCs w:val="20"/>
              </w:rPr>
            </w:pPr>
            <w:r>
              <w:rPr>
                <w:b/>
                <w:sz w:val="20"/>
                <w:szCs w:val="20"/>
              </w:rPr>
              <w:t>17.468,52</w:t>
            </w:r>
          </w:p>
        </w:tc>
        <w:tc>
          <w:tcPr>
            <w:tcW w:w="1276" w:type="dxa"/>
          </w:tcPr>
          <w:p w14:paraId="5EE82822" w14:textId="63F2FE2E" w:rsidR="00C63C9B" w:rsidRPr="000158B6" w:rsidRDefault="0040414F" w:rsidP="004D5306">
            <w:pPr>
              <w:spacing w:before="120"/>
              <w:jc w:val="both"/>
              <w:rPr>
                <w:b/>
                <w:sz w:val="20"/>
                <w:szCs w:val="20"/>
              </w:rPr>
            </w:pPr>
            <w:r>
              <w:rPr>
                <w:b/>
                <w:sz w:val="20"/>
                <w:szCs w:val="20"/>
              </w:rPr>
              <w:t>21,13</w:t>
            </w:r>
          </w:p>
        </w:tc>
        <w:tc>
          <w:tcPr>
            <w:tcW w:w="1559" w:type="dxa"/>
          </w:tcPr>
          <w:p w14:paraId="0B5896D1" w14:textId="7C0E1974" w:rsidR="00C63C9B" w:rsidRPr="000158B6" w:rsidRDefault="0040414F" w:rsidP="004D5306">
            <w:pPr>
              <w:spacing w:before="120"/>
              <w:jc w:val="both"/>
              <w:rPr>
                <w:b/>
                <w:sz w:val="20"/>
                <w:szCs w:val="20"/>
              </w:rPr>
            </w:pPr>
            <w:r>
              <w:rPr>
                <w:b/>
                <w:sz w:val="20"/>
                <w:szCs w:val="20"/>
              </w:rPr>
              <w:t>11,19</w:t>
            </w:r>
          </w:p>
        </w:tc>
      </w:tr>
      <w:bookmarkEnd w:id="4"/>
    </w:tbl>
    <w:p w14:paraId="02CF2ED9" w14:textId="77777777" w:rsidR="005F7568" w:rsidRDefault="005F7568" w:rsidP="003D1413">
      <w:pPr>
        <w:pStyle w:val="Tijeloteksta"/>
        <w:spacing w:before="1"/>
        <w:jc w:val="both"/>
        <w:rPr>
          <w:b/>
        </w:rPr>
      </w:pPr>
    </w:p>
    <w:p w14:paraId="22A6843C" w14:textId="7FFD5CB9" w:rsidR="009122D2" w:rsidRPr="0073136C" w:rsidRDefault="009122D2" w:rsidP="003D1413">
      <w:pPr>
        <w:pStyle w:val="Tijeloteksta"/>
        <w:spacing w:before="1"/>
        <w:jc w:val="both"/>
        <w:rPr>
          <w:b/>
        </w:rPr>
      </w:pPr>
      <w:r w:rsidRPr="0073136C">
        <w:rPr>
          <w:b/>
        </w:rPr>
        <w:t>Opis pr</w:t>
      </w:r>
      <w:r w:rsidR="0073136C" w:rsidRPr="0073136C">
        <w:rPr>
          <w:b/>
        </w:rPr>
        <w:t>o</w:t>
      </w:r>
      <w:r w:rsidRPr="0073136C">
        <w:rPr>
          <w:b/>
        </w:rPr>
        <w:t>jekta/aktivnosti:</w:t>
      </w:r>
    </w:p>
    <w:p w14:paraId="7165A9CB" w14:textId="345BB08E" w:rsidR="00256AEE" w:rsidRDefault="0076694D" w:rsidP="00256AEE">
      <w:pPr>
        <w:pStyle w:val="Tijeloteksta"/>
        <w:jc w:val="both"/>
      </w:pPr>
      <w:r w:rsidRPr="0076694D">
        <w:t>Nositelj projekta „</w:t>
      </w:r>
      <w:r w:rsidR="00F17B57">
        <w:t>Mreža zdravlja</w:t>
      </w:r>
      <w:r w:rsidRPr="0076694D">
        <w:t>“ je Služba za mentalno zdravlje i prevenciju ovisnosti.</w:t>
      </w:r>
      <w:r w:rsidR="00C57DB4">
        <w:t xml:space="preserve"> </w:t>
      </w:r>
      <w:r w:rsidRPr="0076694D">
        <w:t>Temelji se na psihosocijalnom tretmanu i dijagnostici osoba sa problemima mentalnog zdravlja, prevenciji mentalnih poremećaja i ovisnosti, izvanbolničkom liječenju i rehabilitaciji ovisnika u Benkovcu, Biogradu n/m, Gračacu, Obrovcu, Pagu i Zadru kroz savjetovališta mentalnog zdravlja</w:t>
      </w:r>
      <w:r w:rsidR="00C57DB4">
        <w:t xml:space="preserve">. </w:t>
      </w:r>
      <w:r w:rsidR="002515F0">
        <w:t>Projekt „Mentalno zdravlje za sve“ financiran je u okviru raspoloživih sredstava RH  iz  dijela prihoda od igara na sreću u području prevencije/ tretmana/ liječenja /rehabilitacije ovisnosti i resocijalizacije ovisnika od strane Ministarstva zdravstva</w:t>
      </w:r>
      <w:r w:rsidR="002515F0">
        <w:rPr>
          <w:spacing w:val="-4"/>
        </w:rPr>
        <w:t xml:space="preserve"> </w:t>
      </w:r>
      <w:r w:rsidR="002515F0">
        <w:t>RH.</w:t>
      </w:r>
      <w:r w:rsidR="00C57DB4">
        <w:t xml:space="preserve"> </w:t>
      </w:r>
    </w:p>
    <w:p w14:paraId="22878918" w14:textId="77777777" w:rsidR="00CF121A" w:rsidRDefault="00CF121A" w:rsidP="00256AEE">
      <w:pPr>
        <w:pStyle w:val="Tijeloteksta"/>
        <w:jc w:val="both"/>
      </w:pPr>
    </w:p>
    <w:p w14:paraId="41AF0CAC" w14:textId="40784A15" w:rsidR="006507FC" w:rsidRDefault="004A7DAB" w:rsidP="00256AEE">
      <w:pPr>
        <w:pStyle w:val="Tijeloteksta"/>
        <w:jc w:val="both"/>
      </w:pPr>
      <w:r>
        <w:t>Izvršenje za navedeni projekt u 202</w:t>
      </w:r>
      <w:r w:rsidR="006507FC">
        <w:t>5</w:t>
      </w:r>
      <w:r>
        <w:t xml:space="preserve">. godini je </w:t>
      </w:r>
      <w:r w:rsidR="006507FC">
        <w:t>manje</w:t>
      </w:r>
      <w:r w:rsidR="00F12FB1">
        <w:t xml:space="preserve"> od</w:t>
      </w:r>
      <w:r>
        <w:t xml:space="preserve"> izvršenja u 202</w:t>
      </w:r>
      <w:r w:rsidR="006507FC">
        <w:t>4</w:t>
      </w:r>
      <w:r>
        <w:t xml:space="preserve">.godini, budući </w:t>
      </w:r>
      <w:r w:rsidR="006507FC">
        <w:t>će</w:t>
      </w:r>
      <w:r>
        <w:t xml:space="preserve"> </w:t>
      </w:r>
      <w:r w:rsidR="00F12FB1">
        <w:t xml:space="preserve">najveći dio </w:t>
      </w:r>
      <w:r w:rsidR="006507FC">
        <w:t>planiranih aktivnosti biti os</w:t>
      </w:r>
      <w:r w:rsidR="00CF121A">
        <w:t>tvaren u drugoj polovici 2025.g., te se još čeka potpis ugovora za navedeni projekt.</w:t>
      </w:r>
    </w:p>
    <w:p w14:paraId="47A71F39" w14:textId="5E0B6770" w:rsidR="00256AEE" w:rsidRDefault="00134006" w:rsidP="00256AEE">
      <w:pPr>
        <w:pStyle w:val="Tijeloteksta"/>
        <w:jc w:val="both"/>
      </w:pPr>
      <w:r>
        <w:t>Uz napomenu, da je u 2022.godini ostalo neutrošenih 3.130,89 eura za navedeni projekt</w:t>
      </w:r>
      <w:r w:rsidR="007B17A4">
        <w:t>, koji se prenosi kao višak iz godine u godinu dok Ministarstvo zdravstva ne zatraži povrat.</w:t>
      </w:r>
    </w:p>
    <w:p w14:paraId="3E010C5B" w14:textId="77777777" w:rsidR="005A7027" w:rsidRDefault="005A7027" w:rsidP="00C24924">
      <w:pPr>
        <w:pStyle w:val="Tijeloteksta"/>
        <w:jc w:val="both"/>
        <w:rPr>
          <w:b/>
        </w:rPr>
      </w:pPr>
    </w:p>
    <w:p w14:paraId="581F0566" w14:textId="77777777" w:rsidR="00C24924" w:rsidRPr="00C24924" w:rsidRDefault="00C24924" w:rsidP="00C24924">
      <w:pPr>
        <w:pStyle w:val="Tijeloteksta"/>
        <w:jc w:val="both"/>
        <w:rPr>
          <w:b/>
        </w:rPr>
      </w:pPr>
      <w:r w:rsidRPr="00C24924">
        <w:rPr>
          <w:b/>
        </w:rPr>
        <w:t>Svrha provedbe mjere</w:t>
      </w:r>
    </w:p>
    <w:p w14:paraId="391F05CD" w14:textId="77777777" w:rsidR="00C24924" w:rsidRDefault="00C24924" w:rsidP="00C24924">
      <w:pPr>
        <w:pStyle w:val="Tijeloteksta"/>
        <w:jc w:val="both"/>
      </w:pPr>
      <w:r>
        <w:t>Psihosocijalni tretman i dijagnostika osoba sa problemima mentalnog zdravlja, prevencija mentalnih poremećaja i ovisnosti, izvanbolničko liječenje i rehabilitacija ovisnika te sprječavanje nastanka i širenja spolno i krvlju prenosivih bolesti.</w:t>
      </w:r>
    </w:p>
    <w:p w14:paraId="0EC8798C" w14:textId="7C414297" w:rsidR="00675EED" w:rsidRDefault="00C24924" w:rsidP="003D1413">
      <w:pPr>
        <w:pStyle w:val="Tijeloteksta"/>
        <w:jc w:val="both"/>
      </w:pPr>
      <w:r>
        <w:rPr>
          <w:b/>
        </w:rPr>
        <w:t>O</w:t>
      </w:r>
      <w:r w:rsidR="002515F0" w:rsidRPr="0073136C">
        <w:rPr>
          <w:b/>
        </w:rPr>
        <w:t>pći ciljevi</w:t>
      </w:r>
      <w:r w:rsidR="002515F0">
        <w:t xml:space="preserve"> su smanjenje </w:t>
      </w:r>
      <w:proofErr w:type="spellStart"/>
      <w:r w:rsidR="002515F0">
        <w:t>incidencije</w:t>
      </w:r>
      <w:proofErr w:type="spellEnd"/>
      <w:r w:rsidR="002515F0">
        <w:t xml:space="preserve"> novooboljelih od mentalnih poremećaja i bolesti ovisnosti i smanjenje godina života provedenih izvan sustava liječenja kod osoba na zemljopisnom području provedbe projekta, povećanje dostupnosti zdravstvenih usluga u izdvojenim dijelovima Zadarske županije, suzbijanje i sprječavanje pojave ovisnosti među djecom i mladima te rizičnog ponašanja djece i mladih, unaprjeđenje provedbe liječenja,</w:t>
      </w:r>
      <w:r w:rsidR="00EA5133">
        <w:t xml:space="preserve"> r</w:t>
      </w:r>
      <w:r w:rsidR="002515F0">
        <w:t>ehabilitacije i resocijalizacije ovisnika te doprinos sprječavanju nastanka i širenja spolno i krvlju prenosivih bolesti HIV-a i Hepatitisa B i C.</w:t>
      </w:r>
    </w:p>
    <w:p w14:paraId="3BEBB325" w14:textId="77777777" w:rsidR="00643965" w:rsidRDefault="00643965" w:rsidP="00643965">
      <w:pPr>
        <w:pStyle w:val="Tijeloteksta"/>
        <w:spacing w:before="1"/>
        <w:jc w:val="both"/>
      </w:pPr>
      <w:r>
        <w:t xml:space="preserve">Projekt je osmišljen kao mreža četiri povezane cjeline usmjerene na različite oblike prevencije </w:t>
      </w:r>
      <w:r>
        <w:lastRenderedPageBreak/>
        <w:t>(primarnu, sekundarnu i tercijarnu) mentalnih poremećaja sa naglaskom na prevenciju ovisnosti u suradnji s udrugama kao partnerima na</w:t>
      </w:r>
      <w:r>
        <w:rPr>
          <w:spacing w:val="-4"/>
        </w:rPr>
        <w:t xml:space="preserve"> </w:t>
      </w:r>
      <w:r>
        <w:t>projektu.</w:t>
      </w:r>
    </w:p>
    <w:p w14:paraId="276A29FA" w14:textId="77777777" w:rsidR="00256AEE" w:rsidRPr="00256AEE" w:rsidRDefault="00256AEE" w:rsidP="00256AEE">
      <w:pPr>
        <w:pStyle w:val="Tijeloteksta"/>
        <w:jc w:val="both"/>
        <w:rPr>
          <w:b/>
        </w:rPr>
      </w:pPr>
      <w:r w:rsidRPr="00256AEE">
        <w:rPr>
          <w:b/>
        </w:rPr>
        <w:t>Ključne aktivnosti</w:t>
      </w:r>
    </w:p>
    <w:p w14:paraId="2ED92673" w14:textId="77777777" w:rsidR="00256AEE" w:rsidRDefault="00256AEE" w:rsidP="00256AEE">
      <w:pPr>
        <w:pStyle w:val="Tijeloteksta"/>
        <w:jc w:val="both"/>
      </w:pPr>
      <w:r>
        <w:t>Projekt je osmišljen kao mreža četiri povezane cjeline usmjerene na različite oblike prevencije mentalnih poremećaja (univerzalnu, selektivnu i indiciranu) s naglaskom na prevenciju ovisnosti:</w:t>
      </w:r>
    </w:p>
    <w:p w14:paraId="5BA4E051" w14:textId="12D8E0B6" w:rsidR="00256AEE" w:rsidRDefault="00256AEE" w:rsidP="001E68B8">
      <w:pPr>
        <w:pStyle w:val="Tijeloteksta"/>
        <w:numPr>
          <w:ilvl w:val="0"/>
          <w:numId w:val="34"/>
        </w:numPr>
        <w:jc w:val="both"/>
      </w:pPr>
      <w:r>
        <w:t>Rad  savjetovališta za mentalno zdravlje prošireno izvanbolničkim liječenjem ovisnosti i savjetovalištem za onkološke bolesnike (u suradnji s Ligom protiv raka) u šest gradova Zadarske županije te rad Centra za dobrovoljno, anonimno i besplatno testiranje i savjetovanje na HIV i druge spolno prenosive bolesti u gradu Zadru  na dvije lokacije</w:t>
      </w:r>
    </w:p>
    <w:p w14:paraId="5F3E7BC2" w14:textId="52374204" w:rsidR="00256AEE" w:rsidRDefault="00256AEE" w:rsidP="001E68B8">
      <w:pPr>
        <w:pStyle w:val="Tijeloteksta"/>
        <w:numPr>
          <w:ilvl w:val="0"/>
          <w:numId w:val="34"/>
        </w:numPr>
        <w:jc w:val="both"/>
      </w:pPr>
      <w:r>
        <w:t>Suradnja sa Klubom liječenih alkoholičara usmjerena na savjetodavni i psihoterapijski tretman osoba koje imaju problema s alkoholom i njihovih obitelji te po potrebi pokretanje i provođenje grupne terapije liječenih alkoholičara</w:t>
      </w:r>
    </w:p>
    <w:p w14:paraId="7B1EB6BC" w14:textId="2CEC7709" w:rsidR="00256AEE" w:rsidRDefault="00256AEE" w:rsidP="001E68B8">
      <w:pPr>
        <w:pStyle w:val="Tijeloteksta"/>
        <w:numPr>
          <w:ilvl w:val="0"/>
          <w:numId w:val="34"/>
        </w:numPr>
        <w:jc w:val="both"/>
      </w:pPr>
      <w:r>
        <w:t>Suradnja sa TZ „</w:t>
      </w:r>
      <w:proofErr w:type="spellStart"/>
      <w:r>
        <w:t>Mondo</w:t>
      </w:r>
      <w:proofErr w:type="spellEnd"/>
      <w:r>
        <w:t xml:space="preserve"> </w:t>
      </w:r>
      <w:proofErr w:type="spellStart"/>
      <w:r>
        <w:t>Nuovo</w:t>
      </w:r>
      <w:proofErr w:type="spellEnd"/>
      <w:r>
        <w:t>“ i  Udrugom apstinenata za pomoć pri resocijalizaciji Porat usmjerena na rehabilitaciju i resocijalizaciju ovisnika</w:t>
      </w:r>
    </w:p>
    <w:p w14:paraId="645554C3" w14:textId="069F571C" w:rsidR="00256AEE" w:rsidRDefault="00256AEE" w:rsidP="001E68B8">
      <w:pPr>
        <w:pStyle w:val="Tijeloteksta"/>
        <w:numPr>
          <w:ilvl w:val="0"/>
          <w:numId w:val="34"/>
        </w:numPr>
        <w:jc w:val="both"/>
      </w:pPr>
      <w:r>
        <w:t>Promotivne aktivnosti, obilazak izoliranih i udaljenih mjesta Zadarske županije i ostale aktivnosti s ciljem promocije zdravlja i poticanja razvijanja i usvajanja zdravih stilova života, a u suradnji sa svim partnerskim udrugama</w:t>
      </w:r>
    </w:p>
    <w:p w14:paraId="6778713C" w14:textId="77777777" w:rsidR="00256AEE" w:rsidRDefault="00256AEE" w:rsidP="00643965">
      <w:pPr>
        <w:pStyle w:val="Tijeloteksta"/>
        <w:jc w:val="both"/>
        <w:rPr>
          <w:b/>
        </w:rPr>
      </w:pPr>
    </w:p>
    <w:p w14:paraId="5BF06756" w14:textId="12825CB2" w:rsidR="00037F85" w:rsidRPr="00037F85" w:rsidRDefault="00037F85" w:rsidP="00643965">
      <w:pPr>
        <w:pStyle w:val="Tijeloteksta"/>
        <w:jc w:val="both"/>
        <w:rPr>
          <w:b/>
        </w:rPr>
      </w:pPr>
      <w:r w:rsidRPr="00037F85">
        <w:rPr>
          <w:b/>
        </w:rPr>
        <w:t>Pokazatelj rezultata:</w:t>
      </w:r>
    </w:p>
    <w:p w14:paraId="346AC52E" w14:textId="77777777" w:rsidR="00582A2E" w:rsidRDefault="00582A2E" w:rsidP="00582A2E">
      <w:pPr>
        <w:pStyle w:val="Tijeloteksta"/>
        <w:jc w:val="both"/>
      </w:pPr>
      <w:r>
        <w:t>Pokazatelj rezultata</w:t>
      </w:r>
    </w:p>
    <w:p w14:paraId="7F1B5025" w14:textId="50A7E813" w:rsidR="00582A2E" w:rsidRDefault="00582A2E" w:rsidP="001E68B8">
      <w:pPr>
        <w:pStyle w:val="Tijeloteksta"/>
        <w:numPr>
          <w:ilvl w:val="0"/>
          <w:numId w:val="36"/>
        </w:numPr>
        <w:jc w:val="both"/>
      </w:pPr>
      <w:r>
        <w:t xml:space="preserve">Doprinosi smanjenju </w:t>
      </w:r>
      <w:proofErr w:type="spellStart"/>
      <w:r>
        <w:t>incidencije</w:t>
      </w:r>
      <w:proofErr w:type="spellEnd"/>
      <w:r>
        <w:t xml:space="preserve"> novooboljelih od mentalnih bolesti i bolesti ovisnosti i smanjenju godina života provedenih izvan sustava liječenja kod osoba na zemljopisnom području provedbe projekta.</w:t>
      </w:r>
    </w:p>
    <w:p w14:paraId="55DEA4DC" w14:textId="683FDE0E" w:rsidR="00582A2E" w:rsidRDefault="00582A2E" w:rsidP="001E68B8">
      <w:pPr>
        <w:pStyle w:val="Tijeloteksta"/>
        <w:numPr>
          <w:ilvl w:val="0"/>
          <w:numId w:val="36"/>
        </w:numPr>
        <w:jc w:val="both"/>
      </w:pPr>
      <w:r>
        <w:t xml:space="preserve">Povećanju dostupnosti zdravstvenih usluga u izdvojenim dijelovima Zadarske županije. </w:t>
      </w:r>
    </w:p>
    <w:p w14:paraId="59676ADB" w14:textId="7536B445" w:rsidR="00582A2E" w:rsidRDefault="00582A2E" w:rsidP="001E68B8">
      <w:pPr>
        <w:pStyle w:val="Tijeloteksta"/>
        <w:numPr>
          <w:ilvl w:val="0"/>
          <w:numId w:val="36"/>
        </w:numPr>
        <w:jc w:val="both"/>
      </w:pPr>
      <w:r>
        <w:t>Suzbijanju i sprječavanju pojave rizičnog ponašanja i bolesti ovisnosti među djecom i mladima.</w:t>
      </w:r>
    </w:p>
    <w:p w14:paraId="6F7B32B7" w14:textId="4EAEBE91" w:rsidR="00582A2E" w:rsidRDefault="00582A2E" w:rsidP="001E68B8">
      <w:pPr>
        <w:pStyle w:val="Tijeloteksta"/>
        <w:numPr>
          <w:ilvl w:val="0"/>
          <w:numId w:val="36"/>
        </w:numPr>
        <w:jc w:val="both"/>
      </w:pPr>
      <w:r>
        <w:t>Unaprjeđenju provedbe liječenja, rehabilitacije i resocijalizacije ovisnika.</w:t>
      </w:r>
    </w:p>
    <w:p w14:paraId="32B3C60D" w14:textId="20D19220" w:rsidR="00582A2E" w:rsidRPr="007E51A3" w:rsidRDefault="00582A2E" w:rsidP="001E68B8">
      <w:pPr>
        <w:pStyle w:val="Tijeloteksta"/>
        <w:numPr>
          <w:ilvl w:val="0"/>
          <w:numId w:val="36"/>
        </w:numPr>
        <w:jc w:val="both"/>
      </w:pPr>
      <w:r>
        <w:t>Doprinosu u sprječavanju nastanka i širenja spolno i krvlju prenosivih bolesti HIV-a i Hepatitisa B i C</w:t>
      </w:r>
    </w:p>
    <w:p w14:paraId="272757E4" w14:textId="77777777" w:rsidR="00675EED" w:rsidRDefault="00675EED" w:rsidP="003D1413">
      <w:pPr>
        <w:pStyle w:val="Tijeloteksta"/>
        <w:spacing w:before="5"/>
        <w:rPr>
          <w:sz w:val="14"/>
        </w:rPr>
      </w:pPr>
    </w:p>
    <w:p w14:paraId="4547CE69" w14:textId="4C6D5C6B" w:rsidR="00675EED" w:rsidRDefault="00675EED" w:rsidP="003D1413">
      <w:pPr>
        <w:pStyle w:val="Tijeloteksta"/>
        <w:rPr>
          <w:sz w:val="20"/>
        </w:rPr>
      </w:pPr>
    </w:p>
    <w:p w14:paraId="53908A4C" w14:textId="5E0E00A3" w:rsidR="002D2B3B" w:rsidRDefault="002D2B3B" w:rsidP="002D2B3B">
      <w:pPr>
        <w:pStyle w:val="Naslov1"/>
        <w:spacing w:before="223"/>
        <w:ind w:left="0"/>
      </w:pPr>
      <w:r>
        <w:t>T</w:t>
      </w:r>
      <w:r w:rsidR="006B5C0C">
        <w:t>2514-08 All-</w:t>
      </w:r>
      <w:proofErr w:type="spellStart"/>
      <w:r>
        <w:t>in</w:t>
      </w:r>
      <w:proofErr w:type="spellEnd"/>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FA47DE" w:rsidRPr="000158B6" w14:paraId="5AEAD24D" w14:textId="77777777" w:rsidTr="004D5306">
        <w:trPr>
          <w:trHeight w:val="1154"/>
          <w:jc w:val="center"/>
        </w:trPr>
        <w:tc>
          <w:tcPr>
            <w:tcW w:w="1260" w:type="dxa"/>
            <w:shd w:val="clear" w:color="auto" w:fill="D9D9D9"/>
          </w:tcPr>
          <w:p w14:paraId="6317DF07" w14:textId="232A9575" w:rsidR="00FA47DE" w:rsidRPr="000158B6" w:rsidRDefault="00FA47DE" w:rsidP="00FA47DE">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25D40D93" w14:textId="2C7EF6E8" w:rsidR="00FA47DE" w:rsidRPr="000158B6" w:rsidRDefault="00FA47DE" w:rsidP="00FA47DE">
            <w:pPr>
              <w:spacing w:before="120"/>
              <w:jc w:val="both"/>
              <w:rPr>
                <w:b/>
                <w:sz w:val="20"/>
                <w:szCs w:val="20"/>
              </w:rPr>
            </w:pPr>
            <w:r>
              <w:t>Izvršenje financijskog plana 01.01.2024.-30.06.2024.</w:t>
            </w:r>
          </w:p>
        </w:tc>
        <w:tc>
          <w:tcPr>
            <w:tcW w:w="1371" w:type="dxa"/>
            <w:shd w:val="clear" w:color="auto" w:fill="D9D9D9"/>
          </w:tcPr>
          <w:p w14:paraId="531987CF" w14:textId="3D173CDF" w:rsidR="00FA47DE" w:rsidRPr="000158B6" w:rsidRDefault="00FA47DE" w:rsidP="00FA47DE">
            <w:pPr>
              <w:spacing w:before="120"/>
              <w:jc w:val="both"/>
              <w:rPr>
                <w:b/>
                <w:sz w:val="20"/>
                <w:szCs w:val="20"/>
              </w:rPr>
            </w:pPr>
            <w:r>
              <w:t>Financijski plan 2025. godine</w:t>
            </w:r>
          </w:p>
        </w:tc>
        <w:tc>
          <w:tcPr>
            <w:tcW w:w="1683" w:type="dxa"/>
            <w:shd w:val="clear" w:color="auto" w:fill="D9D9D9"/>
          </w:tcPr>
          <w:p w14:paraId="157BEE03" w14:textId="3C45055E" w:rsidR="00FA47DE" w:rsidRPr="000158B6" w:rsidRDefault="00FA47DE" w:rsidP="00FA47DE">
            <w:pPr>
              <w:spacing w:before="120"/>
              <w:jc w:val="both"/>
              <w:rPr>
                <w:b/>
                <w:sz w:val="20"/>
                <w:szCs w:val="20"/>
              </w:rPr>
            </w:pPr>
            <w:r>
              <w:t>Financijski plana 2025. – 1. rebalans</w:t>
            </w:r>
          </w:p>
        </w:tc>
        <w:tc>
          <w:tcPr>
            <w:tcW w:w="1779" w:type="dxa"/>
            <w:shd w:val="clear" w:color="auto" w:fill="D9D9D9"/>
          </w:tcPr>
          <w:p w14:paraId="4E66AC73" w14:textId="73F30B9E" w:rsidR="00FA47DE" w:rsidRPr="000158B6" w:rsidRDefault="00FA47DE" w:rsidP="00FA47DE">
            <w:pPr>
              <w:spacing w:before="120"/>
              <w:jc w:val="both"/>
              <w:rPr>
                <w:b/>
                <w:sz w:val="20"/>
                <w:szCs w:val="20"/>
              </w:rPr>
            </w:pPr>
            <w:r>
              <w:t>Izvršenje financijskog plana 01.01.2025. – 30.06.2025.</w:t>
            </w:r>
          </w:p>
        </w:tc>
        <w:tc>
          <w:tcPr>
            <w:tcW w:w="1276" w:type="dxa"/>
            <w:shd w:val="clear" w:color="auto" w:fill="D9D9D9"/>
          </w:tcPr>
          <w:p w14:paraId="53F29CEE" w14:textId="131DCF7A" w:rsidR="00FA47DE" w:rsidRPr="000158B6" w:rsidRDefault="00FA47DE" w:rsidP="00FA47DE">
            <w:pPr>
              <w:spacing w:before="120"/>
              <w:jc w:val="both"/>
              <w:rPr>
                <w:b/>
                <w:sz w:val="20"/>
                <w:szCs w:val="20"/>
              </w:rPr>
            </w:pPr>
            <w:r>
              <w:t>Izvršenje u odnosu na 2024.g.</w:t>
            </w:r>
          </w:p>
        </w:tc>
        <w:tc>
          <w:tcPr>
            <w:tcW w:w="1559" w:type="dxa"/>
            <w:shd w:val="clear" w:color="auto" w:fill="D9D9D9"/>
          </w:tcPr>
          <w:p w14:paraId="79AD365C" w14:textId="77777777" w:rsidR="00FA47DE" w:rsidRDefault="00FA47DE" w:rsidP="00FA47DE">
            <w:r>
              <w:t xml:space="preserve">Izvršenje u odnosu na </w:t>
            </w:r>
            <w:proofErr w:type="spellStart"/>
            <w:r>
              <w:t>fin.plan</w:t>
            </w:r>
            <w:proofErr w:type="spellEnd"/>
            <w:r>
              <w:t xml:space="preserve"> za 2025.g. (1. rebalans)</w:t>
            </w:r>
          </w:p>
          <w:p w14:paraId="1B34FD6C" w14:textId="77777777" w:rsidR="00FA47DE" w:rsidRPr="000158B6" w:rsidRDefault="00FA47DE" w:rsidP="00FA47DE">
            <w:pPr>
              <w:spacing w:before="120"/>
              <w:jc w:val="both"/>
              <w:rPr>
                <w:b/>
                <w:sz w:val="20"/>
                <w:szCs w:val="20"/>
              </w:rPr>
            </w:pPr>
          </w:p>
        </w:tc>
      </w:tr>
      <w:tr w:rsidR="005A7027" w:rsidRPr="000158B6" w14:paraId="4B3FB7A1" w14:textId="77777777" w:rsidTr="004D5306">
        <w:trPr>
          <w:trHeight w:val="737"/>
          <w:jc w:val="center"/>
        </w:trPr>
        <w:tc>
          <w:tcPr>
            <w:tcW w:w="1260" w:type="dxa"/>
          </w:tcPr>
          <w:p w14:paraId="7D92CB68" w14:textId="77777777" w:rsidR="005A7027" w:rsidRPr="000158B6" w:rsidRDefault="005A7027" w:rsidP="004D5306">
            <w:pPr>
              <w:spacing w:before="120"/>
              <w:jc w:val="both"/>
              <w:rPr>
                <w:b/>
                <w:sz w:val="20"/>
                <w:szCs w:val="20"/>
              </w:rPr>
            </w:pPr>
            <w:r w:rsidRPr="000158B6">
              <w:rPr>
                <w:b/>
                <w:sz w:val="20"/>
                <w:szCs w:val="20"/>
              </w:rPr>
              <w:t>Šifra programa</w:t>
            </w:r>
          </w:p>
          <w:p w14:paraId="03924328" w14:textId="1E585716" w:rsidR="005A7027" w:rsidRPr="000158B6" w:rsidRDefault="005A7027" w:rsidP="005A7027">
            <w:pPr>
              <w:spacing w:before="120"/>
              <w:jc w:val="both"/>
              <w:rPr>
                <w:b/>
                <w:sz w:val="20"/>
                <w:szCs w:val="20"/>
              </w:rPr>
            </w:pPr>
            <w:r>
              <w:rPr>
                <w:b/>
                <w:sz w:val="20"/>
                <w:szCs w:val="20"/>
              </w:rPr>
              <w:t>T</w:t>
            </w:r>
            <w:r w:rsidRPr="000158B6">
              <w:rPr>
                <w:b/>
                <w:sz w:val="20"/>
                <w:szCs w:val="20"/>
              </w:rPr>
              <w:t>2514</w:t>
            </w:r>
            <w:r>
              <w:rPr>
                <w:b/>
                <w:sz w:val="20"/>
                <w:szCs w:val="20"/>
              </w:rPr>
              <w:t>-08</w:t>
            </w:r>
          </w:p>
        </w:tc>
        <w:tc>
          <w:tcPr>
            <w:tcW w:w="1415" w:type="dxa"/>
          </w:tcPr>
          <w:p w14:paraId="1D26F813" w14:textId="2FF84138" w:rsidR="005A7027" w:rsidRPr="000158B6" w:rsidRDefault="000A353A" w:rsidP="004D5306">
            <w:pPr>
              <w:spacing w:before="120"/>
              <w:jc w:val="both"/>
              <w:rPr>
                <w:b/>
                <w:sz w:val="20"/>
                <w:szCs w:val="20"/>
              </w:rPr>
            </w:pPr>
            <w:r>
              <w:rPr>
                <w:b/>
                <w:sz w:val="20"/>
                <w:szCs w:val="20"/>
              </w:rPr>
              <w:t>0,00</w:t>
            </w:r>
          </w:p>
        </w:tc>
        <w:tc>
          <w:tcPr>
            <w:tcW w:w="1371" w:type="dxa"/>
          </w:tcPr>
          <w:p w14:paraId="7B07C09F" w14:textId="61EAD077" w:rsidR="005A7027" w:rsidRPr="000158B6" w:rsidRDefault="000A353A" w:rsidP="004D5306">
            <w:pPr>
              <w:spacing w:before="120"/>
              <w:jc w:val="both"/>
              <w:rPr>
                <w:b/>
                <w:sz w:val="20"/>
                <w:szCs w:val="20"/>
              </w:rPr>
            </w:pPr>
            <w:r>
              <w:rPr>
                <w:b/>
                <w:sz w:val="20"/>
                <w:szCs w:val="20"/>
              </w:rPr>
              <w:t>0,00</w:t>
            </w:r>
          </w:p>
        </w:tc>
        <w:tc>
          <w:tcPr>
            <w:tcW w:w="1683" w:type="dxa"/>
          </w:tcPr>
          <w:p w14:paraId="73759E27" w14:textId="084C5E3E" w:rsidR="005A7027" w:rsidRPr="000158B6" w:rsidRDefault="000A353A" w:rsidP="004D5306">
            <w:pPr>
              <w:spacing w:before="120"/>
              <w:jc w:val="both"/>
              <w:rPr>
                <w:b/>
                <w:sz w:val="20"/>
                <w:szCs w:val="20"/>
              </w:rPr>
            </w:pPr>
            <w:r>
              <w:rPr>
                <w:b/>
                <w:sz w:val="20"/>
                <w:szCs w:val="20"/>
              </w:rPr>
              <w:t>907,46</w:t>
            </w:r>
          </w:p>
        </w:tc>
        <w:tc>
          <w:tcPr>
            <w:tcW w:w="1779" w:type="dxa"/>
          </w:tcPr>
          <w:p w14:paraId="02412AE5" w14:textId="74C83169" w:rsidR="005A7027" w:rsidRPr="000158B6" w:rsidRDefault="000A353A" w:rsidP="004D5306">
            <w:pPr>
              <w:spacing w:before="120"/>
              <w:jc w:val="both"/>
              <w:rPr>
                <w:b/>
                <w:sz w:val="20"/>
                <w:szCs w:val="20"/>
              </w:rPr>
            </w:pPr>
            <w:r>
              <w:rPr>
                <w:b/>
                <w:sz w:val="20"/>
                <w:szCs w:val="20"/>
              </w:rPr>
              <w:t>0,00</w:t>
            </w:r>
          </w:p>
        </w:tc>
        <w:tc>
          <w:tcPr>
            <w:tcW w:w="1276" w:type="dxa"/>
          </w:tcPr>
          <w:p w14:paraId="191735E3" w14:textId="3F1C6E86" w:rsidR="005A7027" w:rsidRPr="000158B6" w:rsidRDefault="000A353A" w:rsidP="005A7027">
            <w:pPr>
              <w:spacing w:before="120"/>
              <w:jc w:val="both"/>
              <w:rPr>
                <w:b/>
                <w:sz w:val="20"/>
                <w:szCs w:val="20"/>
              </w:rPr>
            </w:pPr>
            <w:r>
              <w:rPr>
                <w:b/>
                <w:sz w:val="20"/>
                <w:szCs w:val="20"/>
              </w:rPr>
              <w:t>0</w:t>
            </w:r>
          </w:p>
        </w:tc>
        <w:tc>
          <w:tcPr>
            <w:tcW w:w="1559" w:type="dxa"/>
          </w:tcPr>
          <w:p w14:paraId="2A7AFCC4" w14:textId="40C8DB61" w:rsidR="005A7027" w:rsidRPr="000158B6" w:rsidRDefault="000A353A" w:rsidP="004D5306">
            <w:pPr>
              <w:spacing w:before="120"/>
              <w:jc w:val="both"/>
              <w:rPr>
                <w:b/>
                <w:sz w:val="20"/>
                <w:szCs w:val="20"/>
              </w:rPr>
            </w:pPr>
            <w:r>
              <w:rPr>
                <w:b/>
                <w:sz w:val="20"/>
                <w:szCs w:val="20"/>
              </w:rPr>
              <w:t>0</w:t>
            </w:r>
          </w:p>
        </w:tc>
      </w:tr>
    </w:tbl>
    <w:p w14:paraId="6B16795F" w14:textId="77777777" w:rsidR="002D2B3B" w:rsidRDefault="002D2B3B" w:rsidP="002D2B3B">
      <w:pPr>
        <w:pStyle w:val="Tijeloteksta"/>
        <w:spacing w:before="8"/>
        <w:rPr>
          <w:b/>
          <w:sz w:val="10"/>
        </w:rPr>
      </w:pPr>
    </w:p>
    <w:p w14:paraId="057B37BE" w14:textId="16177DB1" w:rsidR="00255385" w:rsidRDefault="00255385" w:rsidP="00255385">
      <w:pPr>
        <w:pStyle w:val="SubTitle2"/>
        <w:jc w:val="both"/>
        <w:rPr>
          <w:b w:val="0"/>
          <w:i/>
          <w:sz w:val="24"/>
          <w:szCs w:val="24"/>
          <w:lang w:val="hr-HR"/>
        </w:rPr>
      </w:pPr>
      <w:proofErr w:type="spellStart"/>
      <w:r w:rsidRPr="00E60B64">
        <w:rPr>
          <w:rFonts w:eastAsia="Arial Unicode MS"/>
          <w:b w:val="0"/>
          <w:bCs/>
          <w:sz w:val="24"/>
          <w:szCs w:val="24"/>
        </w:rPr>
        <w:t>Projekt</w:t>
      </w:r>
      <w:proofErr w:type="spellEnd"/>
      <w:r w:rsidRPr="00E60B64">
        <w:rPr>
          <w:rFonts w:eastAsia="Arial Unicode MS"/>
          <w:b w:val="0"/>
          <w:bCs/>
          <w:sz w:val="24"/>
          <w:szCs w:val="24"/>
        </w:rPr>
        <w:t xml:space="preserve"> All-in </w:t>
      </w:r>
      <w:r w:rsidR="00703D14">
        <w:rPr>
          <w:rFonts w:eastAsia="Arial Unicode MS"/>
          <w:b w:val="0"/>
          <w:bCs/>
          <w:sz w:val="24"/>
          <w:szCs w:val="24"/>
        </w:rPr>
        <w:t xml:space="preserve">je </w:t>
      </w:r>
      <w:proofErr w:type="spellStart"/>
      <w:r w:rsidR="00703D14">
        <w:rPr>
          <w:rFonts w:eastAsia="Arial Unicode MS"/>
          <w:b w:val="0"/>
          <w:bCs/>
          <w:sz w:val="24"/>
          <w:szCs w:val="24"/>
        </w:rPr>
        <w:t>trebao</w:t>
      </w:r>
      <w:proofErr w:type="spellEnd"/>
      <w:r w:rsidR="00703D14">
        <w:rPr>
          <w:rFonts w:eastAsia="Arial Unicode MS"/>
          <w:b w:val="0"/>
          <w:bCs/>
          <w:sz w:val="24"/>
          <w:szCs w:val="24"/>
        </w:rPr>
        <w:t xml:space="preserve"> </w:t>
      </w:r>
      <w:proofErr w:type="spellStart"/>
      <w:r w:rsidR="00703D14">
        <w:rPr>
          <w:rFonts w:eastAsia="Arial Unicode MS"/>
          <w:b w:val="0"/>
          <w:bCs/>
          <w:sz w:val="24"/>
          <w:szCs w:val="24"/>
        </w:rPr>
        <w:t>biti</w:t>
      </w:r>
      <w:proofErr w:type="spellEnd"/>
      <w:r w:rsidR="00703D14">
        <w:rPr>
          <w:rFonts w:eastAsia="Arial Unicode MS"/>
          <w:b w:val="0"/>
          <w:bCs/>
          <w:sz w:val="24"/>
          <w:szCs w:val="24"/>
        </w:rPr>
        <w:t xml:space="preserve"> </w:t>
      </w:r>
      <w:proofErr w:type="spellStart"/>
      <w:r w:rsidR="006D07CB">
        <w:rPr>
          <w:rFonts w:eastAsia="Arial Unicode MS"/>
          <w:b w:val="0"/>
          <w:bCs/>
          <w:sz w:val="24"/>
          <w:szCs w:val="24"/>
        </w:rPr>
        <w:t>financiran</w:t>
      </w:r>
      <w:proofErr w:type="spellEnd"/>
      <w:r w:rsidR="006D07CB">
        <w:rPr>
          <w:rFonts w:eastAsia="Arial Unicode MS"/>
          <w:b w:val="0"/>
          <w:bCs/>
          <w:sz w:val="24"/>
          <w:szCs w:val="24"/>
        </w:rPr>
        <w:t xml:space="preserve"> </w:t>
      </w:r>
      <w:proofErr w:type="gramStart"/>
      <w:r>
        <w:rPr>
          <w:rFonts w:eastAsia="Arial Unicode MS"/>
          <w:b w:val="0"/>
          <w:bCs/>
          <w:sz w:val="24"/>
          <w:szCs w:val="24"/>
        </w:rPr>
        <w:t>od</w:t>
      </w:r>
      <w:proofErr w:type="gramEnd"/>
      <w:r>
        <w:rPr>
          <w:rFonts w:eastAsia="Arial Unicode MS"/>
          <w:b w:val="0"/>
          <w:bCs/>
          <w:sz w:val="24"/>
          <w:szCs w:val="24"/>
        </w:rPr>
        <w:t xml:space="preserve"> </w:t>
      </w:r>
      <w:proofErr w:type="spellStart"/>
      <w:r>
        <w:rPr>
          <w:rFonts w:eastAsia="Arial Unicode MS"/>
          <w:b w:val="0"/>
          <w:bCs/>
          <w:sz w:val="24"/>
          <w:szCs w:val="24"/>
        </w:rPr>
        <w:t>strane</w:t>
      </w:r>
      <w:proofErr w:type="spellEnd"/>
      <w:r>
        <w:rPr>
          <w:rFonts w:eastAsia="Arial Unicode MS"/>
          <w:b w:val="0"/>
          <w:bCs/>
          <w:sz w:val="24"/>
          <w:szCs w:val="24"/>
        </w:rPr>
        <w:t xml:space="preserve"> </w:t>
      </w:r>
      <w:proofErr w:type="spellStart"/>
      <w:r>
        <w:rPr>
          <w:rFonts w:eastAsia="Arial Unicode MS"/>
          <w:b w:val="0"/>
          <w:bCs/>
          <w:sz w:val="24"/>
          <w:szCs w:val="24"/>
        </w:rPr>
        <w:t>Ministarstva</w:t>
      </w:r>
      <w:proofErr w:type="spellEnd"/>
      <w:r>
        <w:rPr>
          <w:rFonts w:eastAsia="Arial Unicode MS"/>
          <w:b w:val="0"/>
          <w:bCs/>
          <w:sz w:val="24"/>
          <w:szCs w:val="24"/>
        </w:rPr>
        <w:t xml:space="preserve"> </w:t>
      </w:r>
      <w:proofErr w:type="spellStart"/>
      <w:r>
        <w:rPr>
          <w:rFonts w:eastAsia="Arial Unicode MS"/>
          <w:b w:val="0"/>
          <w:bCs/>
          <w:sz w:val="24"/>
          <w:szCs w:val="24"/>
        </w:rPr>
        <w:t>zdravstva</w:t>
      </w:r>
      <w:proofErr w:type="spellEnd"/>
      <w:r w:rsidRPr="00E60B64">
        <w:rPr>
          <w:rFonts w:eastAsia="Arial Unicode MS"/>
          <w:b w:val="0"/>
          <w:bCs/>
          <w:sz w:val="24"/>
          <w:szCs w:val="24"/>
        </w:rPr>
        <w:t xml:space="preserve"> </w:t>
      </w:r>
      <w:r w:rsidRPr="00E60B64">
        <w:rPr>
          <w:b w:val="0"/>
          <w:noProof/>
          <w:sz w:val="24"/>
          <w:szCs w:val="24"/>
          <w:lang w:val="hr-HR" w:eastAsia="de-DE"/>
        </w:rPr>
        <w:t xml:space="preserve">iz dijela prihoda od igara na sreću </w:t>
      </w:r>
      <w:r w:rsidRPr="00E60B64">
        <w:rPr>
          <w:b w:val="0"/>
          <w:i/>
          <w:sz w:val="24"/>
          <w:szCs w:val="24"/>
          <w:lang w:val="hr-HR"/>
        </w:rPr>
        <w:t>u području prevencije ovisnosti o alkoholu, kockanju i novim tehnologijama za 2</w:t>
      </w:r>
      <w:r w:rsidR="00703D14">
        <w:rPr>
          <w:b w:val="0"/>
          <w:i/>
          <w:sz w:val="24"/>
          <w:szCs w:val="24"/>
          <w:lang w:val="hr-HR"/>
        </w:rPr>
        <w:t>023</w:t>
      </w:r>
      <w:r w:rsidRPr="00E60B64">
        <w:rPr>
          <w:b w:val="0"/>
          <w:i/>
          <w:sz w:val="24"/>
          <w:szCs w:val="24"/>
          <w:lang w:val="hr-HR"/>
        </w:rPr>
        <w:t>. godinu</w:t>
      </w:r>
      <w:r>
        <w:rPr>
          <w:b w:val="0"/>
          <w:i/>
          <w:sz w:val="24"/>
          <w:szCs w:val="24"/>
          <w:lang w:val="hr-HR"/>
        </w:rPr>
        <w:t>.</w:t>
      </w:r>
      <w:r w:rsidR="00A600EC">
        <w:rPr>
          <w:b w:val="0"/>
          <w:i/>
          <w:sz w:val="24"/>
          <w:szCs w:val="24"/>
          <w:lang w:val="hr-HR"/>
        </w:rPr>
        <w:t xml:space="preserve"> </w:t>
      </w:r>
    </w:p>
    <w:p w14:paraId="23C25872" w14:textId="6C82D63A" w:rsidR="00CA3C1C" w:rsidRDefault="00CE5A28" w:rsidP="00255385">
      <w:pPr>
        <w:pStyle w:val="SubTitle2"/>
        <w:jc w:val="both"/>
        <w:rPr>
          <w:b w:val="0"/>
          <w:sz w:val="24"/>
          <w:szCs w:val="24"/>
          <w:lang w:val="hr-HR"/>
        </w:rPr>
      </w:pPr>
      <w:r w:rsidRPr="00CE5A28">
        <w:rPr>
          <w:b w:val="0"/>
          <w:sz w:val="24"/>
          <w:szCs w:val="24"/>
          <w:lang w:val="hr-HR"/>
        </w:rPr>
        <w:lastRenderedPageBreak/>
        <w:t xml:space="preserve">Navedeni projekt </w:t>
      </w:r>
      <w:r w:rsidR="000A353A">
        <w:rPr>
          <w:b w:val="0"/>
          <w:sz w:val="24"/>
          <w:szCs w:val="24"/>
          <w:lang w:val="hr-HR"/>
        </w:rPr>
        <w:t>nije</w:t>
      </w:r>
      <w:r w:rsidR="00CA3C1C">
        <w:rPr>
          <w:b w:val="0"/>
          <w:sz w:val="24"/>
          <w:szCs w:val="24"/>
          <w:lang w:val="hr-HR"/>
        </w:rPr>
        <w:t xml:space="preserve"> ugov</w:t>
      </w:r>
      <w:r w:rsidR="007A25DE">
        <w:rPr>
          <w:b w:val="0"/>
          <w:sz w:val="24"/>
          <w:szCs w:val="24"/>
          <w:lang w:val="hr-HR"/>
        </w:rPr>
        <w:t>o</w:t>
      </w:r>
      <w:r w:rsidR="00CA3C1C">
        <w:rPr>
          <w:b w:val="0"/>
          <w:sz w:val="24"/>
          <w:szCs w:val="24"/>
          <w:lang w:val="hr-HR"/>
        </w:rPr>
        <w:t>r</w:t>
      </w:r>
      <w:r w:rsidR="000A353A">
        <w:rPr>
          <w:b w:val="0"/>
          <w:sz w:val="24"/>
          <w:szCs w:val="24"/>
          <w:lang w:val="hr-HR"/>
        </w:rPr>
        <w:t>en</w:t>
      </w:r>
      <w:r w:rsidR="007A25DE">
        <w:rPr>
          <w:b w:val="0"/>
          <w:sz w:val="24"/>
          <w:szCs w:val="24"/>
          <w:lang w:val="hr-HR"/>
        </w:rPr>
        <w:t xml:space="preserve"> za 2024.godinu</w:t>
      </w:r>
      <w:r w:rsidR="000A353A">
        <w:rPr>
          <w:b w:val="0"/>
          <w:sz w:val="24"/>
          <w:szCs w:val="24"/>
          <w:lang w:val="hr-HR"/>
        </w:rPr>
        <w:t xml:space="preserve"> niti </w:t>
      </w:r>
      <w:r w:rsidR="007A25DE">
        <w:rPr>
          <w:b w:val="0"/>
          <w:sz w:val="24"/>
          <w:szCs w:val="24"/>
          <w:lang w:val="hr-HR"/>
        </w:rPr>
        <w:t xml:space="preserve">za </w:t>
      </w:r>
      <w:r w:rsidR="000A353A">
        <w:rPr>
          <w:b w:val="0"/>
          <w:sz w:val="24"/>
          <w:szCs w:val="24"/>
          <w:lang w:val="hr-HR"/>
        </w:rPr>
        <w:t>2025.g.</w:t>
      </w:r>
      <w:r w:rsidR="00CA3C1C">
        <w:rPr>
          <w:b w:val="0"/>
          <w:sz w:val="24"/>
          <w:szCs w:val="24"/>
          <w:lang w:val="hr-HR"/>
        </w:rPr>
        <w:t xml:space="preserve"> </w:t>
      </w:r>
      <w:r w:rsidR="007A25DE">
        <w:rPr>
          <w:b w:val="0"/>
          <w:sz w:val="24"/>
          <w:szCs w:val="24"/>
          <w:lang w:val="hr-HR"/>
        </w:rPr>
        <w:t>zbog čega je izvršenje 0,00 eura. Z</w:t>
      </w:r>
      <w:r w:rsidR="007A25DE" w:rsidRPr="007A25DE">
        <w:rPr>
          <w:b w:val="0"/>
          <w:sz w:val="24"/>
          <w:szCs w:val="24"/>
          <w:lang w:val="hr-HR"/>
        </w:rPr>
        <w:t xml:space="preserve">a </w:t>
      </w:r>
      <w:r w:rsidR="00111446">
        <w:rPr>
          <w:b w:val="0"/>
          <w:sz w:val="24"/>
          <w:szCs w:val="24"/>
          <w:lang w:val="hr-HR"/>
        </w:rPr>
        <w:t>navedeni</w:t>
      </w:r>
      <w:r w:rsidR="007A25DE" w:rsidRPr="007A25DE">
        <w:rPr>
          <w:b w:val="0"/>
          <w:sz w:val="24"/>
          <w:szCs w:val="24"/>
          <w:lang w:val="hr-HR"/>
        </w:rPr>
        <w:t xml:space="preserve"> projekt </w:t>
      </w:r>
      <w:r w:rsidR="00111446">
        <w:rPr>
          <w:b w:val="0"/>
          <w:sz w:val="24"/>
          <w:szCs w:val="24"/>
          <w:lang w:val="hr-HR"/>
        </w:rPr>
        <w:t>se knjigovodstveno evidentira</w:t>
      </w:r>
      <w:r w:rsidR="00CF121A">
        <w:rPr>
          <w:b w:val="0"/>
          <w:sz w:val="24"/>
          <w:szCs w:val="24"/>
          <w:lang w:val="hr-HR"/>
        </w:rPr>
        <w:t>n</w:t>
      </w:r>
      <w:r w:rsidR="00111446">
        <w:rPr>
          <w:b w:val="0"/>
          <w:sz w:val="24"/>
          <w:szCs w:val="24"/>
          <w:lang w:val="hr-HR"/>
        </w:rPr>
        <w:t xml:space="preserve"> iznos</w:t>
      </w:r>
      <w:r w:rsidR="007A25DE" w:rsidRPr="007A25DE">
        <w:rPr>
          <w:b w:val="0"/>
          <w:sz w:val="24"/>
          <w:szCs w:val="24"/>
          <w:lang w:val="hr-HR"/>
        </w:rPr>
        <w:t xml:space="preserve"> od 907,46 eura sukladno Odluci o raspodjeli rezultata poslovanja 2023. godine kojom je </w:t>
      </w:r>
      <w:r w:rsidR="00111446">
        <w:rPr>
          <w:b w:val="0"/>
          <w:sz w:val="24"/>
          <w:szCs w:val="24"/>
          <w:lang w:val="hr-HR"/>
        </w:rPr>
        <w:t>navedeni iznos ostao neutrošen i kao takav se evidentira do povratne informacije od strane Ministarstva zdravstava, tj. hoće li se navedeni iznos knjižiti na ostale prihode ili će Zavod izvršiti povrat.</w:t>
      </w:r>
    </w:p>
    <w:p w14:paraId="10F3D931" w14:textId="77777777" w:rsidR="007F213E" w:rsidRDefault="007F213E" w:rsidP="003D1413">
      <w:pPr>
        <w:pStyle w:val="Tijeloteksta"/>
        <w:spacing w:before="9"/>
        <w:rPr>
          <w:sz w:val="20"/>
        </w:rPr>
      </w:pPr>
    </w:p>
    <w:p w14:paraId="4C04B77C" w14:textId="77777777" w:rsidR="00EA5133" w:rsidRDefault="00EA5133" w:rsidP="003D1413">
      <w:pPr>
        <w:pStyle w:val="Tijeloteksta"/>
        <w:spacing w:before="9"/>
        <w:rPr>
          <w:sz w:val="20"/>
        </w:rPr>
      </w:pPr>
    </w:p>
    <w:p w14:paraId="6BFFEF21" w14:textId="77777777" w:rsidR="00675EED" w:rsidRDefault="002515F0" w:rsidP="003D1413">
      <w:pPr>
        <w:pStyle w:val="Naslov1"/>
        <w:ind w:left="0"/>
      </w:pPr>
      <w:r>
        <w:t>OBRAZLOŽENJE PROGRAMA</w:t>
      </w:r>
    </w:p>
    <w:p w14:paraId="5485B215" w14:textId="77777777" w:rsidR="00675EED" w:rsidRDefault="002515F0" w:rsidP="003D1413">
      <w:pPr>
        <w:spacing w:before="120"/>
        <w:jc w:val="both"/>
        <w:rPr>
          <w:b/>
          <w:sz w:val="24"/>
        </w:rPr>
      </w:pPr>
      <w:r>
        <w:rPr>
          <w:b/>
          <w:sz w:val="24"/>
        </w:rPr>
        <w:t>4303 Projekti EU</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FA47DE" w:rsidRPr="000158B6" w14:paraId="4CAF4347" w14:textId="77777777" w:rsidTr="004D5306">
        <w:trPr>
          <w:trHeight w:val="1154"/>
          <w:jc w:val="center"/>
        </w:trPr>
        <w:tc>
          <w:tcPr>
            <w:tcW w:w="1260" w:type="dxa"/>
            <w:shd w:val="clear" w:color="auto" w:fill="D9D9D9"/>
          </w:tcPr>
          <w:p w14:paraId="31D90658" w14:textId="3991E102" w:rsidR="00FA47DE" w:rsidRPr="000158B6" w:rsidRDefault="00FA47DE" w:rsidP="00FA47DE">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6DD538B4" w14:textId="27650CA9" w:rsidR="00FA47DE" w:rsidRPr="000158B6" w:rsidRDefault="00FA47DE" w:rsidP="00FA47DE">
            <w:pPr>
              <w:spacing w:before="120"/>
              <w:jc w:val="both"/>
              <w:rPr>
                <w:b/>
                <w:sz w:val="20"/>
                <w:szCs w:val="20"/>
              </w:rPr>
            </w:pPr>
            <w:r>
              <w:t>Izvršenje financijskog plana 01.01.2024.-30.06.2024.</w:t>
            </w:r>
          </w:p>
        </w:tc>
        <w:tc>
          <w:tcPr>
            <w:tcW w:w="1371" w:type="dxa"/>
            <w:shd w:val="clear" w:color="auto" w:fill="D9D9D9"/>
          </w:tcPr>
          <w:p w14:paraId="27ED5052" w14:textId="1D3C66D6" w:rsidR="00FA47DE" w:rsidRPr="000158B6" w:rsidRDefault="00FA47DE" w:rsidP="00FA47DE">
            <w:pPr>
              <w:spacing w:before="120"/>
              <w:jc w:val="both"/>
              <w:rPr>
                <w:b/>
                <w:sz w:val="20"/>
                <w:szCs w:val="20"/>
              </w:rPr>
            </w:pPr>
            <w:r>
              <w:t>Financijski plan 2025. godine</w:t>
            </w:r>
          </w:p>
        </w:tc>
        <w:tc>
          <w:tcPr>
            <w:tcW w:w="1683" w:type="dxa"/>
            <w:shd w:val="clear" w:color="auto" w:fill="D9D9D9"/>
          </w:tcPr>
          <w:p w14:paraId="562F283D" w14:textId="46B54CFB" w:rsidR="00FA47DE" w:rsidRPr="000158B6" w:rsidRDefault="00FA47DE" w:rsidP="00FA47DE">
            <w:pPr>
              <w:spacing w:before="120"/>
              <w:jc w:val="both"/>
              <w:rPr>
                <w:b/>
                <w:sz w:val="20"/>
                <w:szCs w:val="20"/>
              </w:rPr>
            </w:pPr>
            <w:r>
              <w:t>Financijski plana 2025. – 1. rebalans</w:t>
            </w:r>
          </w:p>
        </w:tc>
        <w:tc>
          <w:tcPr>
            <w:tcW w:w="1779" w:type="dxa"/>
            <w:shd w:val="clear" w:color="auto" w:fill="D9D9D9"/>
          </w:tcPr>
          <w:p w14:paraId="6A278CD1" w14:textId="0998F4D7" w:rsidR="00FA47DE" w:rsidRPr="000158B6" w:rsidRDefault="00FA47DE" w:rsidP="00FA47DE">
            <w:pPr>
              <w:spacing w:before="120"/>
              <w:jc w:val="both"/>
              <w:rPr>
                <w:b/>
                <w:sz w:val="20"/>
                <w:szCs w:val="20"/>
              </w:rPr>
            </w:pPr>
            <w:r>
              <w:t>Izvršenje financijskog plana 01.01.2025. – 30.06.2025.</w:t>
            </w:r>
          </w:p>
        </w:tc>
        <w:tc>
          <w:tcPr>
            <w:tcW w:w="1276" w:type="dxa"/>
            <w:shd w:val="clear" w:color="auto" w:fill="D9D9D9"/>
          </w:tcPr>
          <w:p w14:paraId="0A5213E8" w14:textId="28020840" w:rsidR="00FA47DE" w:rsidRPr="000158B6" w:rsidRDefault="00FA47DE" w:rsidP="00FA47DE">
            <w:pPr>
              <w:spacing w:before="120"/>
              <w:jc w:val="both"/>
              <w:rPr>
                <w:b/>
                <w:sz w:val="20"/>
                <w:szCs w:val="20"/>
              </w:rPr>
            </w:pPr>
            <w:r>
              <w:t>Izvršenje u odnosu na 2024.g.</w:t>
            </w:r>
          </w:p>
        </w:tc>
        <w:tc>
          <w:tcPr>
            <w:tcW w:w="1559" w:type="dxa"/>
            <w:shd w:val="clear" w:color="auto" w:fill="D9D9D9"/>
          </w:tcPr>
          <w:p w14:paraId="71033BDD" w14:textId="77777777" w:rsidR="00FA47DE" w:rsidRDefault="00FA47DE" w:rsidP="00FA47DE">
            <w:r>
              <w:t xml:space="preserve">Izvršenje u odnosu na </w:t>
            </w:r>
            <w:proofErr w:type="spellStart"/>
            <w:r>
              <w:t>fin.plan</w:t>
            </w:r>
            <w:proofErr w:type="spellEnd"/>
            <w:r>
              <w:t xml:space="preserve"> za 2025.g. (1. rebalans)</w:t>
            </w:r>
          </w:p>
          <w:p w14:paraId="67C35C0D" w14:textId="77777777" w:rsidR="00FA47DE" w:rsidRPr="000158B6" w:rsidRDefault="00FA47DE" w:rsidP="00FA47DE">
            <w:pPr>
              <w:spacing w:before="120"/>
              <w:jc w:val="both"/>
              <w:rPr>
                <w:b/>
                <w:sz w:val="20"/>
                <w:szCs w:val="20"/>
              </w:rPr>
            </w:pPr>
          </w:p>
        </w:tc>
      </w:tr>
      <w:tr w:rsidR="002970DE" w:rsidRPr="000158B6" w14:paraId="05082D7F" w14:textId="77777777" w:rsidTr="004D5306">
        <w:trPr>
          <w:trHeight w:val="737"/>
          <w:jc w:val="center"/>
        </w:trPr>
        <w:tc>
          <w:tcPr>
            <w:tcW w:w="1260" w:type="dxa"/>
          </w:tcPr>
          <w:p w14:paraId="7AB4CB7D" w14:textId="77777777" w:rsidR="002970DE" w:rsidRPr="000158B6" w:rsidRDefault="002970DE" w:rsidP="004D5306">
            <w:pPr>
              <w:spacing w:before="120"/>
              <w:jc w:val="both"/>
              <w:rPr>
                <w:b/>
                <w:sz w:val="20"/>
                <w:szCs w:val="20"/>
              </w:rPr>
            </w:pPr>
            <w:r w:rsidRPr="000158B6">
              <w:rPr>
                <w:b/>
                <w:sz w:val="20"/>
                <w:szCs w:val="20"/>
              </w:rPr>
              <w:t>Šifra programa</w:t>
            </w:r>
          </w:p>
          <w:p w14:paraId="04EF6C4E" w14:textId="57684C0B" w:rsidR="002970DE" w:rsidRPr="000158B6" w:rsidRDefault="00080852" w:rsidP="004D5306">
            <w:pPr>
              <w:spacing w:before="120"/>
              <w:jc w:val="both"/>
              <w:rPr>
                <w:b/>
                <w:sz w:val="20"/>
                <w:szCs w:val="20"/>
              </w:rPr>
            </w:pPr>
            <w:r>
              <w:rPr>
                <w:b/>
                <w:sz w:val="20"/>
                <w:szCs w:val="20"/>
              </w:rPr>
              <w:t>4303</w:t>
            </w:r>
          </w:p>
        </w:tc>
        <w:tc>
          <w:tcPr>
            <w:tcW w:w="1415" w:type="dxa"/>
          </w:tcPr>
          <w:p w14:paraId="701AA368" w14:textId="67905FFC" w:rsidR="002970DE" w:rsidRPr="000158B6" w:rsidRDefault="00A1634B" w:rsidP="004D5306">
            <w:pPr>
              <w:spacing w:before="120"/>
              <w:jc w:val="both"/>
              <w:rPr>
                <w:b/>
                <w:sz w:val="20"/>
                <w:szCs w:val="20"/>
              </w:rPr>
            </w:pPr>
            <w:r>
              <w:rPr>
                <w:b/>
                <w:sz w:val="20"/>
                <w:szCs w:val="20"/>
              </w:rPr>
              <w:t>69.860,26</w:t>
            </w:r>
          </w:p>
        </w:tc>
        <w:tc>
          <w:tcPr>
            <w:tcW w:w="1371" w:type="dxa"/>
          </w:tcPr>
          <w:p w14:paraId="48FBBA07" w14:textId="28BF38AA" w:rsidR="002970DE" w:rsidRPr="000158B6" w:rsidRDefault="00A1634B" w:rsidP="00080852">
            <w:pPr>
              <w:spacing w:before="120"/>
              <w:jc w:val="both"/>
              <w:rPr>
                <w:b/>
                <w:sz w:val="20"/>
                <w:szCs w:val="20"/>
              </w:rPr>
            </w:pPr>
            <w:r>
              <w:rPr>
                <w:b/>
                <w:sz w:val="20"/>
                <w:szCs w:val="20"/>
              </w:rPr>
              <w:t>1.121.029,13</w:t>
            </w:r>
          </w:p>
        </w:tc>
        <w:tc>
          <w:tcPr>
            <w:tcW w:w="1683" w:type="dxa"/>
          </w:tcPr>
          <w:p w14:paraId="7C1C7216" w14:textId="4AED9DBC" w:rsidR="002970DE" w:rsidRPr="000158B6" w:rsidRDefault="00A1634B" w:rsidP="004D5306">
            <w:pPr>
              <w:spacing w:before="120"/>
              <w:jc w:val="both"/>
              <w:rPr>
                <w:b/>
                <w:sz w:val="20"/>
                <w:szCs w:val="20"/>
              </w:rPr>
            </w:pPr>
            <w:r>
              <w:rPr>
                <w:b/>
                <w:sz w:val="20"/>
                <w:szCs w:val="20"/>
              </w:rPr>
              <w:t>1.118.330,80</w:t>
            </w:r>
          </w:p>
        </w:tc>
        <w:tc>
          <w:tcPr>
            <w:tcW w:w="1779" w:type="dxa"/>
          </w:tcPr>
          <w:p w14:paraId="6A51A422" w14:textId="18C9162F" w:rsidR="002970DE" w:rsidRPr="000158B6" w:rsidRDefault="00A1634B" w:rsidP="004D5306">
            <w:pPr>
              <w:spacing w:before="120"/>
              <w:jc w:val="both"/>
              <w:rPr>
                <w:b/>
                <w:sz w:val="20"/>
                <w:szCs w:val="20"/>
              </w:rPr>
            </w:pPr>
            <w:r>
              <w:rPr>
                <w:b/>
                <w:sz w:val="20"/>
                <w:szCs w:val="20"/>
              </w:rPr>
              <w:t>415.908,54</w:t>
            </w:r>
          </w:p>
        </w:tc>
        <w:tc>
          <w:tcPr>
            <w:tcW w:w="1276" w:type="dxa"/>
          </w:tcPr>
          <w:p w14:paraId="5912AD27" w14:textId="7564B73A" w:rsidR="002970DE" w:rsidRPr="000158B6" w:rsidRDefault="00A1634B" w:rsidP="004D5306">
            <w:pPr>
              <w:spacing w:before="120"/>
              <w:jc w:val="both"/>
              <w:rPr>
                <w:b/>
                <w:sz w:val="20"/>
                <w:szCs w:val="20"/>
              </w:rPr>
            </w:pPr>
            <w:r>
              <w:rPr>
                <w:b/>
                <w:sz w:val="20"/>
                <w:szCs w:val="20"/>
              </w:rPr>
              <w:t>595,34</w:t>
            </w:r>
          </w:p>
        </w:tc>
        <w:tc>
          <w:tcPr>
            <w:tcW w:w="1559" w:type="dxa"/>
          </w:tcPr>
          <w:p w14:paraId="3C899439" w14:textId="33D62814" w:rsidR="002970DE" w:rsidRPr="000158B6" w:rsidRDefault="00A1634B" w:rsidP="004D5306">
            <w:pPr>
              <w:spacing w:before="120"/>
              <w:jc w:val="both"/>
              <w:rPr>
                <w:b/>
                <w:sz w:val="20"/>
                <w:szCs w:val="20"/>
              </w:rPr>
            </w:pPr>
            <w:r>
              <w:rPr>
                <w:b/>
                <w:sz w:val="20"/>
                <w:szCs w:val="20"/>
              </w:rPr>
              <w:t>37,19</w:t>
            </w:r>
          </w:p>
        </w:tc>
      </w:tr>
    </w:tbl>
    <w:p w14:paraId="73D205DF" w14:textId="77777777" w:rsidR="0045775B" w:rsidRDefault="00A1634B" w:rsidP="003D1413">
      <w:pPr>
        <w:spacing w:before="120"/>
        <w:jc w:val="both"/>
        <w:rPr>
          <w:sz w:val="24"/>
        </w:rPr>
      </w:pPr>
      <w:r w:rsidRPr="00A1634B">
        <w:rPr>
          <w:sz w:val="24"/>
        </w:rPr>
        <w:t>Ovaj program</w:t>
      </w:r>
      <w:r w:rsidR="0045775B">
        <w:rPr>
          <w:sz w:val="24"/>
        </w:rPr>
        <w:t>:</w:t>
      </w:r>
      <w:r w:rsidRPr="00A1634B">
        <w:rPr>
          <w:sz w:val="24"/>
        </w:rPr>
        <w:t xml:space="preserve"> 4303 PROJEKTI EU, se sastoji od projekta</w:t>
      </w:r>
      <w:r w:rsidR="0045775B">
        <w:rPr>
          <w:sz w:val="24"/>
        </w:rPr>
        <w:t>:</w:t>
      </w:r>
    </w:p>
    <w:p w14:paraId="49B7E376" w14:textId="4B7204D4" w:rsidR="00276101" w:rsidRDefault="00A1634B" w:rsidP="00276101">
      <w:pPr>
        <w:jc w:val="both"/>
        <w:rPr>
          <w:sz w:val="24"/>
        </w:rPr>
      </w:pPr>
      <w:r w:rsidRPr="00A1634B">
        <w:rPr>
          <w:sz w:val="24"/>
        </w:rPr>
        <w:t>T4303-03</w:t>
      </w:r>
      <w:r w:rsidR="00276101">
        <w:rPr>
          <w:sz w:val="24"/>
        </w:rPr>
        <w:t xml:space="preserve"> </w:t>
      </w:r>
      <w:r w:rsidRPr="00A1634B">
        <w:rPr>
          <w:sz w:val="24"/>
        </w:rPr>
        <w:t xml:space="preserve">„Specijalističko usavršavanje doktora medicine“, </w:t>
      </w:r>
      <w:r w:rsidR="00276101" w:rsidRPr="00A1634B">
        <w:rPr>
          <w:sz w:val="24"/>
        </w:rPr>
        <w:t>T4303-16„Specijalističko usavršavanje doktora medicine“, T4303-15 „</w:t>
      </w:r>
      <w:proofErr w:type="spellStart"/>
      <w:r w:rsidR="00276101" w:rsidRPr="00A1634B">
        <w:rPr>
          <w:sz w:val="24"/>
        </w:rPr>
        <w:t>MicroDrink</w:t>
      </w:r>
      <w:proofErr w:type="spellEnd"/>
      <w:r w:rsidR="00276101" w:rsidRPr="00A1634B">
        <w:rPr>
          <w:sz w:val="24"/>
        </w:rPr>
        <w:t>“, T4303-17 „AllerShield“</w:t>
      </w:r>
      <w:r w:rsidR="00276101" w:rsidRPr="00276101">
        <w:rPr>
          <w:sz w:val="24"/>
        </w:rPr>
        <w:t xml:space="preserve"> </w:t>
      </w:r>
      <w:r w:rsidR="00276101" w:rsidRPr="00A1634B">
        <w:rPr>
          <w:sz w:val="24"/>
        </w:rPr>
        <w:t xml:space="preserve">i T4303-18 „ </w:t>
      </w:r>
      <w:proofErr w:type="spellStart"/>
      <w:r w:rsidR="00276101" w:rsidRPr="00A1634B">
        <w:rPr>
          <w:sz w:val="24"/>
        </w:rPr>
        <w:t>BeforeTime</w:t>
      </w:r>
      <w:proofErr w:type="spellEnd"/>
      <w:r w:rsidR="00276101">
        <w:rPr>
          <w:sz w:val="24"/>
        </w:rPr>
        <w:t>“.</w:t>
      </w:r>
    </w:p>
    <w:p w14:paraId="6FAA9049" w14:textId="6AB3186D" w:rsidR="00276101" w:rsidRDefault="00276101" w:rsidP="00276101">
      <w:pPr>
        <w:jc w:val="both"/>
        <w:rPr>
          <w:sz w:val="24"/>
        </w:rPr>
      </w:pPr>
    </w:p>
    <w:p w14:paraId="4D4135F3" w14:textId="4ECE35AA" w:rsidR="003E3DD2" w:rsidRPr="00863D81" w:rsidRDefault="00863D81" w:rsidP="003D1413">
      <w:pPr>
        <w:spacing w:before="120"/>
        <w:jc w:val="both"/>
        <w:rPr>
          <w:b/>
          <w:sz w:val="24"/>
          <w:szCs w:val="24"/>
        </w:rPr>
      </w:pPr>
      <w:r w:rsidRPr="00863D81">
        <w:rPr>
          <w:b/>
          <w:sz w:val="24"/>
          <w:szCs w:val="24"/>
        </w:rPr>
        <w:t>T4303-03 – Specijalističko usavršavanje doktora medicine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C214E6" w:rsidRPr="000158B6" w14:paraId="753A6666" w14:textId="77777777" w:rsidTr="004D5306">
        <w:trPr>
          <w:trHeight w:val="1154"/>
          <w:jc w:val="center"/>
        </w:trPr>
        <w:tc>
          <w:tcPr>
            <w:tcW w:w="1260" w:type="dxa"/>
            <w:shd w:val="clear" w:color="auto" w:fill="D9D9D9"/>
          </w:tcPr>
          <w:p w14:paraId="783B2388" w14:textId="3328F91D" w:rsidR="00C214E6" w:rsidRPr="000158B6" w:rsidRDefault="00C214E6" w:rsidP="00C214E6">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0FCF1E9B" w14:textId="2B8E102D" w:rsidR="00C214E6" w:rsidRPr="000158B6" w:rsidRDefault="00C214E6" w:rsidP="00C214E6">
            <w:pPr>
              <w:spacing w:before="120"/>
              <w:jc w:val="both"/>
              <w:rPr>
                <w:b/>
                <w:sz w:val="20"/>
                <w:szCs w:val="20"/>
              </w:rPr>
            </w:pPr>
            <w:r>
              <w:t>Izvršenje financijskog plana 01.01.2024.-30.06.2024.</w:t>
            </w:r>
          </w:p>
        </w:tc>
        <w:tc>
          <w:tcPr>
            <w:tcW w:w="1371" w:type="dxa"/>
            <w:shd w:val="clear" w:color="auto" w:fill="D9D9D9"/>
          </w:tcPr>
          <w:p w14:paraId="17D5E013" w14:textId="5A8AB43C" w:rsidR="00C214E6" w:rsidRPr="000158B6" w:rsidRDefault="00C214E6" w:rsidP="00C214E6">
            <w:pPr>
              <w:spacing w:before="120"/>
              <w:jc w:val="both"/>
              <w:rPr>
                <w:b/>
                <w:sz w:val="20"/>
                <w:szCs w:val="20"/>
              </w:rPr>
            </w:pPr>
            <w:r>
              <w:t>Financijski plan 2025. godine</w:t>
            </w:r>
          </w:p>
        </w:tc>
        <w:tc>
          <w:tcPr>
            <w:tcW w:w="1683" w:type="dxa"/>
            <w:shd w:val="clear" w:color="auto" w:fill="D9D9D9"/>
          </w:tcPr>
          <w:p w14:paraId="0302027C" w14:textId="7AA4240E" w:rsidR="00C214E6" w:rsidRPr="000158B6" w:rsidRDefault="00C214E6" w:rsidP="00C214E6">
            <w:pPr>
              <w:spacing w:before="120"/>
              <w:jc w:val="both"/>
              <w:rPr>
                <w:b/>
                <w:sz w:val="20"/>
                <w:szCs w:val="20"/>
              </w:rPr>
            </w:pPr>
            <w:r>
              <w:t>Financijski plana 2025. – 1. rebalans</w:t>
            </w:r>
          </w:p>
        </w:tc>
        <w:tc>
          <w:tcPr>
            <w:tcW w:w="1779" w:type="dxa"/>
            <w:shd w:val="clear" w:color="auto" w:fill="D9D9D9"/>
          </w:tcPr>
          <w:p w14:paraId="7F2610C1" w14:textId="01BB8D46" w:rsidR="00C214E6" w:rsidRPr="000158B6" w:rsidRDefault="00C214E6" w:rsidP="00C214E6">
            <w:pPr>
              <w:spacing w:before="120"/>
              <w:jc w:val="both"/>
              <w:rPr>
                <w:b/>
                <w:sz w:val="20"/>
                <w:szCs w:val="20"/>
              </w:rPr>
            </w:pPr>
            <w:r>
              <w:t>Izvršenje financijskog plana 01.01.2025. – 30.06.2025.</w:t>
            </w:r>
          </w:p>
        </w:tc>
        <w:tc>
          <w:tcPr>
            <w:tcW w:w="1276" w:type="dxa"/>
            <w:shd w:val="clear" w:color="auto" w:fill="D9D9D9"/>
          </w:tcPr>
          <w:p w14:paraId="725DC7C7" w14:textId="692825B0" w:rsidR="00C214E6" w:rsidRPr="000158B6" w:rsidRDefault="00C214E6" w:rsidP="00C214E6">
            <w:pPr>
              <w:spacing w:before="120"/>
              <w:jc w:val="both"/>
              <w:rPr>
                <w:b/>
                <w:sz w:val="20"/>
                <w:szCs w:val="20"/>
              </w:rPr>
            </w:pPr>
            <w:r>
              <w:t>Izvršenje u odnosu na 2024.g.</w:t>
            </w:r>
          </w:p>
        </w:tc>
        <w:tc>
          <w:tcPr>
            <w:tcW w:w="1559" w:type="dxa"/>
            <w:shd w:val="clear" w:color="auto" w:fill="D9D9D9"/>
          </w:tcPr>
          <w:p w14:paraId="443ABE1C" w14:textId="77777777" w:rsidR="00C214E6" w:rsidRDefault="00C214E6" w:rsidP="00C214E6">
            <w:r>
              <w:t xml:space="preserve">Izvršenje u odnosu na </w:t>
            </w:r>
            <w:proofErr w:type="spellStart"/>
            <w:r>
              <w:t>fin.plan</w:t>
            </w:r>
            <w:proofErr w:type="spellEnd"/>
            <w:r>
              <w:t xml:space="preserve"> za 2025.g. (1. rebalans)</w:t>
            </w:r>
          </w:p>
          <w:p w14:paraId="566ED6FC" w14:textId="77777777" w:rsidR="00C214E6" w:rsidRPr="000158B6" w:rsidRDefault="00C214E6" w:rsidP="00C214E6">
            <w:pPr>
              <w:spacing w:before="120"/>
              <w:jc w:val="both"/>
              <w:rPr>
                <w:b/>
                <w:sz w:val="20"/>
                <w:szCs w:val="20"/>
              </w:rPr>
            </w:pPr>
          </w:p>
        </w:tc>
      </w:tr>
      <w:tr w:rsidR="003E3DD2" w:rsidRPr="000158B6" w14:paraId="7D3F733A" w14:textId="77777777" w:rsidTr="004D5306">
        <w:trPr>
          <w:trHeight w:val="737"/>
          <w:jc w:val="center"/>
        </w:trPr>
        <w:tc>
          <w:tcPr>
            <w:tcW w:w="1260" w:type="dxa"/>
          </w:tcPr>
          <w:p w14:paraId="5C7743A0" w14:textId="77777777" w:rsidR="003E3DD2" w:rsidRPr="000158B6" w:rsidRDefault="003E3DD2" w:rsidP="004D5306">
            <w:pPr>
              <w:spacing w:before="120"/>
              <w:jc w:val="both"/>
              <w:rPr>
                <w:b/>
                <w:sz w:val="20"/>
                <w:szCs w:val="20"/>
              </w:rPr>
            </w:pPr>
            <w:r w:rsidRPr="000158B6">
              <w:rPr>
                <w:b/>
                <w:sz w:val="20"/>
                <w:szCs w:val="20"/>
              </w:rPr>
              <w:t>Šifra programa</w:t>
            </w:r>
          </w:p>
          <w:p w14:paraId="666A329B" w14:textId="0D68CCF2" w:rsidR="003E3DD2" w:rsidRPr="000158B6" w:rsidRDefault="003E3DD2" w:rsidP="004D5306">
            <w:pPr>
              <w:spacing w:before="120"/>
              <w:jc w:val="both"/>
              <w:rPr>
                <w:b/>
                <w:sz w:val="20"/>
                <w:szCs w:val="20"/>
              </w:rPr>
            </w:pPr>
            <w:r>
              <w:rPr>
                <w:b/>
                <w:sz w:val="20"/>
                <w:szCs w:val="20"/>
              </w:rPr>
              <w:t>T-4303-03</w:t>
            </w:r>
          </w:p>
        </w:tc>
        <w:tc>
          <w:tcPr>
            <w:tcW w:w="1415" w:type="dxa"/>
          </w:tcPr>
          <w:p w14:paraId="13244A37" w14:textId="5B018EBE" w:rsidR="003E3DD2" w:rsidRPr="000158B6" w:rsidRDefault="0074725A" w:rsidP="004D5306">
            <w:pPr>
              <w:spacing w:before="120"/>
              <w:jc w:val="both"/>
              <w:rPr>
                <w:b/>
                <w:sz w:val="20"/>
                <w:szCs w:val="20"/>
              </w:rPr>
            </w:pPr>
            <w:r>
              <w:rPr>
                <w:b/>
                <w:sz w:val="20"/>
                <w:szCs w:val="20"/>
              </w:rPr>
              <w:t>22.023,69</w:t>
            </w:r>
          </w:p>
        </w:tc>
        <w:tc>
          <w:tcPr>
            <w:tcW w:w="1371" w:type="dxa"/>
          </w:tcPr>
          <w:p w14:paraId="723FD4A7" w14:textId="65CDF7C5" w:rsidR="003E3DD2" w:rsidRPr="000158B6" w:rsidRDefault="0074725A" w:rsidP="004D5306">
            <w:pPr>
              <w:spacing w:before="120"/>
              <w:jc w:val="both"/>
              <w:rPr>
                <w:b/>
                <w:sz w:val="20"/>
                <w:szCs w:val="20"/>
              </w:rPr>
            </w:pPr>
            <w:r>
              <w:rPr>
                <w:b/>
                <w:sz w:val="20"/>
                <w:szCs w:val="20"/>
              </w:rPr>
              <w:t>87.440,69</w:t>
            </w:r>
          </w:p>
        </w:tc>
        <w:tc>
          <w:tcPr>
            <w:tcW w:w="1683" w:type="dxa"/>
          </w:tcPr>
          <w:p w14:paraId="15CDFF1C" w14:textId="29A73E39" w:rsidR="003E3DD2" w:rsidRPr="000158B6" w:rsidRDefault="0074725A" w:rsidP="004D5306">
            <w:pPr>
              <w:spacing w:before="120"/>
              <w:jc w:val="both"/>
              <w:rPr>
                <w:b/>
                <w:sz w:val="20"/>
                <w:szCs w:val="20"/>
              </w:rPr>
            </w:pPr>
            <w:r>
              <w:rPr>
                <w:b/>
                <w:sz w:val="20"/>
                <w:szCs w:val="20"/>
              </w:rPr>
              <w:t>87.640,69</w:t>
            </w:r>
          </w:p>
        </w:tc>
        <w:tc>
          <w:tcPr>
            <w:tcW w:w="1779" w:type="dxa"/>
          </w:tcPr>
          <w:p w14:paraId="1AC09324" w14:textId="100ADBA3" w:rsidR="003E3DD2" w:rsidRPr="000158B6" w:rsidRDefault="0074725A" w:rsidP="004D5306">
            <w:pPr>
              <w:spacing w:before="120"/>
              <w:jc w:val="both"/>
              <w:rPr>
                <w:b/>
                <w:sz w:val="20"/>
                <w:szCs w:val="20"/>
              </w:rPr>
            </w:pPr>
            <w:r>
              <w:rPr>
                <w:b/>
                <w:sz w:val="20"/>
                <w:szCs w:val="20"/>
              </w:rPr>
              <w:t>39.466,08</w:t>
            </w:r>
          </w:p>
        </w:tc>
        <w:tc>
          <w:tcPr>
            <w:tcW w:w="1276" w:type="dxa"/>
          </w:tcPr>
          <w:p w14:paraId="68D987DE" w14:textId="0B98C845" w:rsidR="003E3DD2" w:rsidRPr="000158B6" w:rsidRDefault="0074725A" w:rsidP="004D5306">
            <w:pPr>
              <w:spacing w:before="120"/>
              <w:jc w:val="both"/>
              <w:rPr>
                <w:b/>
                <w:sz w:val="20"/>
                <w:szCs w:val="20"/>
              </w:rPr>
            </w:pPr>
            <w:r>
              <w:rPr>
                <w:b/>
                <w:sz w:val="20"/>
                <w:szCs w:val="20"/>
              </w:rPr>
              <w:t>179,20</w:t>
            </w:r>
          </w:p>
        </w:tc>
        <w:tc>
          <w:tcPr>
            <w:tcW w:w="1559" w:type="dxa"/>
          </w:tcPr>
          <w:p w14:paraId="7C3E4DE6" w14:textId="7F47C08D" w:rsidR="003E3DD2" w:rsidRPr="000158B6" w:rsidRDefault="0074725A" w:rsidP="004D5306">
            <w:pPr>
              <w:spacing w:before="120"/>
              <w:jc w:val="both"/>
              <w:rPr>
                <w:b/>
                <w:sz w:val="20"/>
                <w:szCs w:val="20"/>
              </w:rPr>
            </w:pPr>
            <w:r>
              <w:rPr>
                <w:b/>
                <w:sz w:val="20"/>
                <w:szCs w:val="20"/>
              </w:rPr>
              <w:t>45,03</w:t>
            </w:r>
          </w:p>
        </w:tc>
      </w:tr>
    </w:tbl>
    <w:p w14:paraId="3DBA93B1" w14:textId="77777777" w:rsidR="002C5E86" w:rsidRDefault="002C5E86" w:rsidP="002C5E86">
      <w:pPr>
        <w:spacing w:line="300" w:lineRule="atLeast"/>
        <w:jc w:val="both"/>
        <w:rPr>
          <w:rFonts w:cstheme="minorHAnsi"/>
          <w:sz w:val="24"/>
          <w:szCs w:val="24"/>
        </w:rPr>
      </w:pPr>
      <w:r w:rsidRPr="002C5E86">
        <w:rPr>
          <w:rFonts w:cstheme="minorHAnsi"/>
          <w:sz w:val="24"/>
          <w:szCs w:val="24"/>
        </w:rPr>
        <w:t>Projektom „</w:t>
      </w:r>
      <w:r w:rsidRPr="002C5E86">
        <w:rPr>
          <w:rFonts w:cstheme="minorHAnsi"/>
          <w:b/>
          <w:sz w:val="24"/>
          <w:szCs w:val="24"/>
        </w:rPr>
        <w:t xml:space="preserve">Specijalističko usavršavanje doktora medicine u Zavodu za javno zdravstvo Zadar“ </w:t>
      </w:r>
      <w:r w:rsidRPr="002C5E86">
        <w:rPr>
          <w:rFonts w:cstheme="minorHAnsi"/>
          <w:bCs/>
          <w:sz w:val="24"/>
          <w:szCs w:val="24"/>
        </w:rPr>
        <w:t>osigurana su sredstva za</w:t>
      </w:r>
      <w:r w:rsidRPr="002C5E86">
        <w:rPr>
          <w:rFonts w:cstheme="minorHAnsi"/>
          <w:b/>
          <w:sz w:val="24"/>
          <w:szCs w:val="24"/>
        </w:rPr>
        <w:t xml:space="preserve"> </w:t>
      </w:r>
      <w:r w:rsidRPr="002C5E86">
        <w:rPr>
          <w:rFonts w:cstheme="minorHAnsi"/>
          <w:bCs/>
          <w:sz w:val="24"/>
          <w:szCs w:val="24"/>
        </w:rPr>
        <w:t xml:space="preserve">specijalističkog usavršavanja jednog doktora epidemiologije te jednog doktora školske i adolescentne medicine, tj. ukupno dvije nove specijalizacije primarne zdravstvene zaštite. </w:t>
      </w:r>
      <w:r w:rsidRPr="002C5E86">
        <w:rPr>
          <w:rFonts w:cstheme="minorHAnsi"/>
          <w:sz w:val="24"/>
          <w:szCs w:val="24"/>
        </w:rPr>
        <w:t>Za provedbu ovog projekta Zavodu će se dodijeliti bespovratna sredstva u iznosu od 366.671,22 eura. Ugovor o dodjeli bespovratnih sredstava potpisan je 5. rujna 2023. godine.</w:t>
      </w:r>
    </w:p>
    <w:p w14:paraId="6534770D" w14:textId="77777777" w:rsidR="0045775B" w:rsidRDefault="0045775B" w:rsidP="002C5E86">
      <w:pPr>
        <w:spacing w:line="300" w:lineRule="atLeast"/>
        <w:jc w:val="both"/>
        <w:rPr>
          <w:rFonts w:cstheme="minorHAnsi"/>
          <w:sz w:val="24"/>
          <w:szCs w:val="24"/>
        </w:rPr>
      </w:pPr>
    </w:p>
    <w:p w14:paraId="53C1F146" w14:textId="34582099" w:rsidR="00F50C89" w:rsidRDefault="000B3D6B" w:rsidP="002C5E86">
      <w:pPr>
        <w:spacing w:line="300" w:lineRule="atLeast"/>
        <w:jc w:val="both"/>
        <w:rPr>
          <w:rFonts w:cstheme="minorHAnsi"/>
          <w:sz w:val="24"/>
          <w:szCs w:val="24"/>
        </w:rPr>
      </w:pPr>
      <w:r w:rsidRPr="000B3D6B">
        <w:rPr>
          <w:rFonts w:cstheme="minorHAnsi"/>
          <w:sz w:val="24"/>
          <w:szCs w:val="24"/>
        </w:rPr>
        <w:t>Izvršenje financijskog plana u ovom izvještajnom razdoblju za navedeni projekt je u skladu s planiranim aktivnostima te prati stvarno nastale troškove za navedeni projekt u ovom razdoblju</w:t>
      </w:r>
    </w:p>
    <w:p w14:paraId="0BFD9F19" w14:textId="77777777" w:rsidR="00E33B81" w:rsidRDefault="00E33B81" w:rsidP="002C5E86">
      <w:pPr>
        <w:spacing w:line="300" w:lineRule="atLeast"/>
        <w:jc w:val="both"/>
        <w:rPr>
          <w:rFonts w:cstheme="minorHAnsi"/>
          <w:sz w:val="24"/>
          <w:szCs w:val="24"/>
        </w:rPr>
      </w:pPr>
      <w:r>
        <w:rPr>
          <w:rFonts w:cstheme="minorHAnsi"/>
          <w:sz w:val="24"/>
          <w:szCs w:val="24"/>
        </w:rPr>
        <w:t xml:space="preserve">O projektu: </w:t>
      </w:r>
    </w:p>
    <w:p w14:paraId="39C0B5E8" w14:textId="1BCD3137" w:rsidR="002C5E86" w:rsidRPr="002C5E86" w:rsidRDefault="002C5E86" w:rsidP="002C5E86">
      <w:pPr>
        <w:spacing w:line="300" w:lineRule="atLeast"/>
        <w:jc w:val="both"/>
        <w:rPr>
          <w:rFonts w:cstheme="minorHAnsi"/>
          <w:sz w:val="24"/>
          <w:szCs w:val="24"/>
        </w:rPr>
      </w:pPr>
      <w:r w:rsidRPr="002C5E86">
        <w:rPr>
          <w:rFonts w:cstheme="minorHAnsi"/>
          <w:sz w:val="24"/>
          <w:szCs w:val="24"/>
        </w:rPr>
        <w:t xml:space="preserve">Prema podacima Hrvatskog zavoda za zdravstveno osiguranje na području Zadarske županije trenutno postoji 5 timova u Mreži javne zdravstvene službe u djelatnosti higijensko-epidemiološke zdravstvene zaštite te 7 timova u Mreži javne zdravstvene službe u djelatnosti </w:t>
      </w:r>
      <w:r w:rsidRPr="002C5E86">
        <w:rPr>
          <w:rFonts w:cstheme="minorHAnsi"/>
          <w:sz w:val="24"/>
          <w:szCs w:val="24"/>
        </w:rPr>
        <w:lastRenderedPageBreak/>
        <w:t>preventivno-odgojnih mjera školske djece i studenata.</w:t>
      </w:r>
    </w:p>
    <w:p w14:paraId="310F5F7F" w14:textId="77777777" w:rsidR="002C5E86" w:rsidRPr="002C5E86" w:rsidRDefault="002C5E86" w:rsidP="002C5E86">
      <w:pPr>
        <w:spacing w:line="300" w:lineRule="atLeast"/>
        <w:jc w:val="both"/>
        <w:rPr>
          <w:rFonts w:cstheme="minorHAnsi"/>
          <w:sz w:val="24"/>
          <w:szCs w:val="24"/>
        </w:rPr>
      </w:pPr>
      <w:r w:rsidRPr="002C5E86">
        <w:rPr>
          <w:rFonts w:cstheme="minorHAnsi"/>
          <w:sz w:val="24"/>
          <w:szCs w:val="24"/>
        </w:rPr>
        <w:t>Realizacijom ovog projektnog prijedloga dodatno će se ojačati Mreža javne zdravstvene službe u djelatnosti higijensko-epidemiološke zdravstvene zaštite te uvesti jedan dodatni tim kako bi Mreža javne zdravstvene službe u djelatnosti preventivno-odgojnih mjera školske djece i studenata bila potpuna. Glavni cilj ovog projekta je osigurati jačanje zdravstvenog sustava na razini primarne zdravstvene zaštite na području čitave Zadarske županije.</w:t>
      </w:r>
    </w:p>
    <w:p w14:paraId="35CF594A" w14:textId="77777777" w:rsidR="002C5E86" w:rsidRPr="002C5E86" w:rsidRDefault="002C5E86" w:rsidP="002C5E86">
      <w:pPr>
        <w:adjustRightInd w:val="0"/>
        <w:spacing w:line="300" w:lineRule="atLeast"/>
        <w:jc w:val="both"/>
        <w:rPr>
          <w:rFonts w:cstheme="minorHAnsi"/>
          <w:sz w:val="24"/>
          <w:szCs w:val="24"/>
        </w:rPr>
      </w:pPr>
      <w:r w:rsidRPr="002C5E86">
        <w:rPr>
          <w:rFonts w:cstheme="minorHAnsi"/>
          <w:sz w:val="24"/>
          <w:szCs w:val="24"/>
        </w:rPr>
        <w:t xml:space="preserve">Specijalističko usavršavanje doktora medicine u zdravstvenim ustanovama osigurava se prema Odluci o specijalističkom usavršavanju doktora medicine u djelatnosti obiteljske medicine, pedijatrije, ginekologije i </w:t>
      </w:r>
      <w:proofErr w:type="spellStart"/>
      <w:r w:rsidRPr="002C5E86">
        <w:rPr>
          <w:rFonts w:cstheme="minorHAnsi"/>
          <w:sz w:val="24"/>
          <w:szCs w:val="24"/>
        </w:rPr>
        <w:t>opstetricije</w:t>
      </w:r>
      <w:proofErr w:type="spellEnd"/>
      <w:r w:rsidRPr="002C5E86">
        <w:rPr>
          <w:rFonts w:cstheme="minorHAnsi"/>
          <w:sz w:val="24"/>
          <w:szCs w:val="24"/>
        </w:rPr>
        <w:t xml:space="preserve">, medicine rada i sporta, hitne medicine, oftalmologije i </w:t>
      </w:r>
      <w:proofErr w:type="spellStart"/>
      <w:r w:rsidRPr="002C5E86">
        <w:rPr>
          <w:rFonts w:cstheme="minorHAnsi"/>
          <w:sz w:val="24"/>
          <w:szCs w:val="24"/>
        </w:rPr>
        <w:t>optometrije</w:t>
      </w:r>
      <w:proofErr w:type="spellEnd"/>
      <w:r w:rsidRPr="002C5E86">
        <w:rPr>
          <w:rFonts w:cstheme="minorHAnsi"/>
          <w:sz w:val="24"/>
          <w:szCs w:val="24"/>
        </w:rPr>
        <w:t xml:space="preserve">, opće interne medicine, </w:t>
      </w:r>
      <w:proofErr w:type="spellStart"/>
      <w:r w:rsidRPr="002C5E86">
        <w:rPr>
          <w:rFonts w:cstheme="minorHAnsi"/>
          <w:sz w:val="24"/>
          <w:szCs w:val="24"/>
        </w:rPr>
        <w:t>fzikalne</w:t>
      </w:r>
      <w:proofErr w:type="spellEnd"/>
      <w:r w:rsidRPr="002C5E86">
        <w:rPr>
          <w:rFonts w:cstheme="minorHAnsi"/>
          <w:sz w:val="24"/>
          <w:szCs w:val="24"/>
        </w:rPr>
        <w:t xml:space="preserve"> medicine i rehabilitacije kliničke radiologije, epidemiologije, školske i adolescentne medicine i kliničke mikrobiologije, financijskim sredstvima Mehanizma za oporavak i otpornost dodijeljenih Ministarstvu zdravstva za provedbu Nacionalnog plana oporavka i otpornosti 2021. – 2026. od 3. svibnja 2022. godine.</w:t>
      </w:r>
    </w:p>
    <w:p w14:paraId="6EA130AA" w14:textId="77777777" w:rsidR="002C5E86" w:rsidRPr="002C5E86" w:rsidRDefault="002C5E86" w:rsidP="002C5E86">
      <w:pPr>
        <w:adjustRightInd w:val="0"/>
        <w:spacing w:line="300" w:lineRule="atLeast"/>
        <w:jc w:val="both"/>
        <w:rPr>
          <w:rFonts w:cstheme="minorHAnsi"/>
          <w:sz w:val="24"/>
          <w:szCs w:val="24"/>
        </w:rPr>
      </w:pPr>
      <w:r w:rsidRPr="002C5E86">
        <w:rPr>
          <w:rFonts w:cstheme="minorHAnsi"/>
          <w:bCs/>
          <w:sz w:val="24"/>
          <w:szCs w:val="24"/>
        </w:rPr>
        <w:t xml:space="preserve">Projekt se financira iz Mehanizma za oporavak i otpornost 2021.-2026. </w:t>
      </w:r>
      <w:r w:rsidRPr="002C5E86">
        <w:rPr>
          <w:rFonts w:cstheme="minorHAnsi"/>
          <w:sz w:val="24"/>
          <w:szCs w:val="24"/>
        </w:rPr>
        <w:t xml:space="preserve">Glavni je cilj ovog mehanizma ublažiti gospodarske i socijalne posljedice </w:t>
      </w:r>
      <w:proofErr w:type="spellStart"/>
      <w:r w:rsidRPr="002C5E86">
        <w:rPr>
          <w:rFonts w:cstheme="minorHAnsi"/>
          <w:sz w:val="24"/>
          <w:szCs w:val="24"/>
        </w:rPr>
        <w:t>pandemije</w:t>
      </w:r>
      <w:proofErr w:type="spellEnd"/>
      <w:r w:rsidRPr="002C5E86">
        <w:rPr>
          <w:rFonts w:cstheme="minorHAnsi"/>
          <w:sz w:val="24"/>
          <w:szCs w:val="24"/>
        </w:rPr>
        <w:t xml:space="preserve"> </w:t>
      </w:r>
      <w:proofErr w:type="spellStart"/>
      <w:r w:rsidRPr="002C5E86">
        <w:rPr>
          <w:rFonts w:cstheme="minorHAnsi"/>
          <w:sz w:val="24"/>
          <w:szCs w:val="24"/>
        </w:rPr>
        <w:t>koronavirusa</w:t>
      </w:r>
      <w:proofErr w:type="spellEnd"/>
      <w:r w:rsidRPr="002C5E86">
        <w:rPr>
          <w:rFonts w:cstheme="minorHAnsi"/>
          <w:sz w:val="24"/>
          <w:szCs w:val="24"/>
        </w:rPr>
        <w:t xml:space="preserve"> i učiniti europska gospodarstva i društva održivijima, otpornijima i spremnijima za izazove i prilike koje donosi budućnost. </w:t>
      </w:r>
    </w:p>
    <w:p w14:paraId="59AAA4ED" w14:textId="77777777" w:rsidR="002C5E86" w:rsidRPr="002C5E86" w:rsidRDefault="002C5E86" w:rsidP="002C5E86">
      <w:pPr>
        <w:pStyle w:val="Podnoje"/>
        <w:spacing w:after="120" w:line="300" w:lineRule="atLeast"/>
        <w:jc w:val="both"/>
        <w:rPr>
          <w:rFonts w:cstheme="minorHAnsi"/>
          <w:sz w:val="24"/>
          <w:szCs w:val="24"/>
        </w:rPr>
      </w:pPr>
      <w:r w:rsidRPr="002C5E86">
        <w:rPr>
          <w:rFonts w:cstheme="minorHAnsi"/>
          <w:sz w:val="24"/>
          <w:szCs w:val="24"/>
        </w:rPr>
        <w:t>Nositelj projekta je Zavod za javno zdravstvo Zadar. Razdoblje provedbe je od 1. svibnja 2023. godine do 1. svibnja 2028. godine.</w:t>
      </w:r>
    </w:p>
    <w:p w14:paraId="2FBE39D8" w14:textId="77777777" w:rsidR="001A3037" w:rsidRDefault="001A3037" w:rsidP="007A68D0">
      <w:pPr>
        <w:pStyle w:val="Tijeloteksta"/>
        <w:jc w:val="both"/>
      </w:pPr>
    </w:p>
    <w:p w14:paraId="1EDCE628" w14:textId="77777777" w:rsidR="00F562AE" w:rsidRPr="00F562AE" w:rsidRDefault="00F562AE" w:rsidP="00F562AE">
      <w:pPr>
        <w:pStyle w:val="Tijeloteksta"/>
        <w:jc w:val="both"/>
        <w:rPr>
          <w:b/>
        </w:rPr>
      </w:pPr>
      <w:r w:rsidRPr="00F562AE">
        <w:rPr>
          <w:b/>
        </w:rPr>
        <w:t xml:space="preserve">Aktivnost T4303-15 – </w:t>
      </w:r>
      <w:proofErr w:type="spellStart"/>
      <w:r w:rsidRPr="00F562AE">
        <w:rPr>
          <w:b/>
        </w:rPr>
        <w:t>MicroDrink</w:t>
      </w:r>
      <w:proofErr w:type="spellEnd"/>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C214E6" w:rsidRPr="000158B6" w14:paraId="3613A461" w14:textId="77777777" w:rsidTr="00197BCE">
        <w:trPr>
          <w:trHeight w:val="1154"/>
          <w:jc w:val="center"/>
        </w:trPr>
        <w:tc>
          <w:tcPr>
            <w:tcW w:w="1260" w:type="dxa"/>
            <w:shd w:val="clear" w:color="auto" w:fill="D9D9D9"/>
          </w:tcPr>
          <w:p w14:paraId="09FC84CA" w14:textId="16768647" w:rsidR="00C214E6" w:rsidRPr="000158B6" w:rsidRDefault="00C214E6" w:rsidP="00C214E6">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377EF3C1" w14:textId="063FA7D7" w:rsidR="00C214E6" w:rsidRPr="000158B6" w:rsidRDefault="00C214E6" w:rsidP="00C214E6">
            <w:pPr>
              <w:spacing w:before="120"/>
              <w:jc w:val="both"/>
              <w:rPr>
                <w:b/>
                <w:sz w:val="20"/>
                <w:szCs w:val="20"/>
              </w:rPr>
            </w:pPr>
            <w:r>
              <w:t>Izvršenje financijskog plana 01.01.2024.-30.06.2024.</w:t>
            </w:r>
          </w:p>
        </w:tc>
        <w:tc>
          <w:tcPr>
            <w:tcW w:w="1371" w:type="dxa"/>
            <w:shd w:val="clear" w:color="auto" w:fill="D9D9D9"/>
          </w:tcPr>
          <w:p w14:paraId="1C59F9B3" w14:textId="22DE17D9" w:rsidR="00C214E6" w:rsidRPr="000158B6" w:rsidRDefault="00C214E6" w:rsidP="00C214E6">
            <w:pPr>
              <w:spacing w:before="120"/>
              <w:jc w:val="both"/>
              <w:rPr>
                <w:b/>
                <w:sz w:val="20"/>
                <w:szCs w:val="20"/>
              </w:rPr>
            </w:pPr>
            <w:r>
              <w:t>Financijski plan 2025. godine</w:t>
            </w:r>
          </w:p>
        </w:tc>
        <w:tc>
          <w:tcPr>
            <w:tcW w:w="1683" w:type="dxa"/>
            <w:shd w:val="clear" w:color="auto" w:fill="D9D9D9"/>
          </w:tcPr>
          <w:p w14:paraId="42CCFF8D" w14:textId="34DD0515" w:rsidR="00C214E6" w:rsidRPr="000158B6" w:rsidRDefault="00C214E6" w:rsidP="00C214E6">
            <w:pPr>
              <w:spacing w:before="120"/>
              <w:jc w:val="both"/>
              <w:rPr>
                <w:b/>
                <w:sz w:val="20"/>
                <w:szCs w:val="20"/>
              </w:rPr>
            </w:pPr>
            <w:r>
              <w:t>Financijski plana 2025. – 1. rebalans</w:t>
            </w:r>
          </w:p>
        </w:tc>
        <w:tc>
          <w:tcPr>
            <w:tcW w:w="1779" w:type="dxa"/>
            <w:shd w:val="clear" w:color="auto" w:fill="D9D9D9"/>
          </w:tcPr>
          <w:p w14:paraId="4D748E8D" w14:textId="38364673" w:rsidR="00C214E6" w:rsidRPr="000158B6" w:rsidRDefault="00C214E6" w:rsidP="00C214E6">
            <w:pPr>
              <w:spacing w:before="120"/>
              <w:jc w:val="both"/>
              <w:rPr>
                <w:b/>
                <w:sz w:val="20"/>
                <w:szCs w:val="20"/>
              </w:rPr>
            </w:pPr>
            <w:r>
              <w:t>Izvršenje financijskog plana 01.01.2025. – 30.06.2025.</w:t>
            </w:r>
          </w:p>
        </w:tc>
        <w:tc>
          <w:tcPr>
            <w:tcW w:w="1276" w:type="dxa"/>
            <w:shd w:val="clear" w:color="auto" w:fill="D9D9D9"/>
          </w:tcPr>
          <w:p w14:paraId="0B8D9842" w14:textId="5844CF8C" w:rsidR="00C214E6" w:rsidRPr="000158B6" w:rsidRDefault="00C214E6" w:rsidP="00C214E6">
            <w:pPr>
              <w:spacing w:before="120"/>
              <w:jc w:val="both"/>
              <w:rPr>
                <w:b/>
                <w:sz w:val="20"/>
                <w:szCs w:val="20"/>
              </w:rPr>
            </w:pPr>
            <w:r>
              <w:t>Izvršenje u odnosu na 2024.g.</w:t>
            </w:r>
          </w:p>
        </w:tc>
        <w:tc>
          <w:tcPr>
            <w:tcW w:w="1559" w:type="dxa"/>
            <w:shd w:val="clear" w:color="auto" w:fill="D9D9D9"/>
          </w:tcPr>
          <w:p w14:paraId="62DB0D77" w14:textId="77777777" w:rsidR="00C214E6" w:rsidRDefault="00C214E6" w:rsidP="00C214E6">
            <w:r>
              <w:t xml:space="preserve">Izvršenje u odnosu na </w:t>
            </w:r>
            <w:proofErr w:type="spellStart"/>
            <w:r>
              <w:t>fin.plan</w:t>
            </w:r>
            <w:proofErr w:type="spellEnd"/>
            <w:r>
              <w:t xml:space="preserve"> za 2025.g. (1. rebalans)</w:t>
            </w:r>
          </w:p>
          <w:p w14:paraId="516BF7F0" w14:textId="77777777" w:rsidR="00C214E6" w:rsidRPr="000158B6" w:rsidRDefault="00C214E6" w:rsidP="00C214E6">
            <w:pPr>
              <w:spacing w:before="120"/>
              <w:jc w:val="both"/>
              <w:rPr>
                <w:b/>
                <w:sz w:val="20"/>
                <w:szCs w:val="20"/>
              </w:rPr>
            </w:pPr>
          </w:p>
        </w:tc>
      </w:tr>
      <w:tr w:rsidR="00F562AE" w:rsidRPr="000158B6" w14:paraId="4F65729A" w14:textId="77777777" w:rsidTr="00197BCE">
        <w:trPr>
          <w:trHeight w:val="737"/>
          <w:jc w:val="center"/>
        </w:trPr>
        <w:tc>
          <w:tcPr>
            <w:tcW w:w="1260" w:type="dxa"/>
          </w:tcPr>
          <w:p w14:paraId="2A95F02F" w14:textId="77777777" w:rsidR="00F562AE" w:rsidRPr="000158B6" w:rsidRDefault="00F562AE" w:rsidP="00197BCE">
            <w:pPr>
              <w:spacing w:before="120"/>
              <w:jc w:val="both"/>
              <w:rPr>
                <w:b/>
                <w:sz w:val="20"/>
                <w:szCs w:val="20"/>
              </w:rPr>
            </w:pPr>
            <w:r w:rsidRPr="000158B6">
              <w:rPr>
                <w:b/>
                <w:sz w:val="20"/>
                <w:szCs w:val="20"/>
              </w:rPr>
              <w:t>Šifra programa</w:t>
            </w:r>
          </w:p>
          <w:p w14:paraId="552C17D6" w14:textId="4D548C0E" w:rsidR="00F562AE" w:rsidRPr="000158B6" w:rsidRDefault="00F562AE" w:rsidP="00F562AE">
            <w:pPr>
              <w:spacing w:before="120"/>
              <w:jc w:val="both"/>
              <w:rPr>
                <w:b/>
                <w:sz w:val="20"/>
                <w:szCs w:val="20"/>
              </w:rPr>
            </w:pPr>
            <w:r>
              <w:rPr>
                <w:b/>
                <w:sz w:val="20"/>
                <w:szCs w:val="20"/>
              </w:rPr>
              <w:t>T-4303-15</w:t>
            </w:r>
          </w:p>
        </w:tc>
        <w:tc>
          <w:tcPr>
            <w:tcW w:w="1415" w:type="dxa"/>
          </w:tcPr>
          <w:p w14:paraId="179B41A4" w14:textId="6EAB75B0" w:rsidR="00F562AE" w:rsidRPr="000158B6" w:rsidRDefault="008E3C77" w:rsidP="00197BCE">
            <w:pPr>
              <w:spacing w:before="120"/>
              <w:jc w:val="both"/>
              <w:rPr>
                <w:b/>
                <w:sz w:val="20"/>
                <w:szCs w:val="20"/>
              </w:rPr>
            </w:pPr>
            <w:r>
              <w:rPr>
                <w:b/>
                <w:sz w:val="20"/>
                <w:szCs w:val="20"/>
              </w:rPr>
              <w:t>26.377,93</w:t>
            </w:r>
          </w:p>
        </w:tc>
        <w:tc>
          <w:tcPr>
            <w:tcW w:w="1371" w:type="dxa"/>
          </w:tcPr>
          <w:p w14:paraId="3A31DC56" w14:textId="42CEC14C" w:rsidR="00F562AE" w:rsidRPr="000158B6" w:rsidRDefault="008E3C77" w:rsidP="00197BCE">
            <w:pPr>
              <w:spacing w:before="120"/>
              <w:jc w:val="both"/>
              <w:rPr>
                <w:b/>
                <w:sz w:val="20"/>
                <w:szCs w:val="20"/>
              </w:rPr>
            </w:pPr>
            <w:r>
              <w:rPr>
                <w:b/>
                <w:sz w:val="20"/>
                <w:szCs w:val="20"/>
              </w:rPr>
              <w:t>55.500,00</w:t>
            </w:r>
          </w:p>
        </w:tc>
        <w:tc>
          <w:tcPr>
            <w:tcW w:w="1683" w:type="dxa"/>
          </w:tcPr>
          <w:p w14:paraId="25DEAC15" w14:textId="10DA4ADE" w:rsidR="00F562AE" w:rsidRPr="000158B6" w:rsidRDefault="008E3C77" w:rsidP="00197BCE">
            <w:pPr>
              <w:spacing w:before="120"/>
              <w:jc w:val="both"/>
              <w:rPr>
                <w:b/>
                <w:sz w:val="20"/>
                <w:szCs w:val="20"/>
              </w:rPr>
            </w:pPr>
            <w:r>
              <w:rPr>
                <w:b/>
                <w:sz w:val="20"/>
                <w:szCs w:val="20"/>
              </w:rPr>
              <w:t>57.500,00</w:t>
            </w:r>
          </w:p>
        </w:tc>
        <w:tc>
          <w:tcPr>
            <w:tcW w:w="1779" w:type="dxa"/>
          </w:tcPr>
          <w:p w14:paraId="6A7C5720" w14:textId="2176DA5A" w:rsidR="00F562AE" w:rsidRPr="000158B6" w:rsidRDefault="008E3C77" w:rsidP="00197BCE">
            <w:pPr>
              <w:spacing w:before="120"/>
              <w:jc w:val="both"/>
              <w:rPr>
                <w:b/>
                <w:sz w:val="20"/>
                <w:szCs w:val="20"/>
              </w:rPr>
            </w:pPr>
            <w:r>
              <w:rPr>
                <w:b/>
                <w:sz w:val="20"/>
                <w:szCs w:val="20"/>
              </w:rPr>
              <w:t>22.776,69</w:t>
            </w:r>
          </w:p>
        </w:tc>
        <w:tc>
          <w:tcPr>
            <w:tcW w:w="1276" w:type="dxa"/>
          </w:tcPr>
          <w:p w14:paraId="3F275AFD" w14:textId="67A36EE8" w:rsidR="00F562AE" w:rsidRPr="000158B6" w:rsidRDefault="008E3C77" w:rsidP="00197BCE">
            <w:pPr>
              <w:spacing w:before="120"/>
              <w:jc w:val="both"/>
              <w:rPr>
                <w:b/>
                <w:sz w:val="20"/>
                <w:szCs w:val="20"/>
              </w:rPr>
            </w:pPr>
            <w:r>
              <w:rPr>
                <w:b/>
                <w:sz w:val="20"/>
                <w:szCs w:val="20"/>
              </w:rPr>
              <w:t>86,35</w:t>
            </w:r>
          </w:p>
        </w:tc>
        <w:tc>
          <w:tcPr>
            <w:tcW w:w="1559" w:type="dxa"/>
          </w:tcPr>
          <w:p w14:paraId="63DA791E" w14:textId="03E2ADAD" w:rsidR="00F562AE" w:rsidRPr="000158B6" w:rsidRDefault="008E3C77" w:rsidP="00197BCE">
            <w:pPr>
              <w:spacing w:before="120"/>
              <w:jc w:val="both"/>
              <w:rPr>
                <w:b/>
                <w:sz w:val="20"/>
                <w:szCs w:val="20"/>
              </w:rPr>
            </w:pPr>
            <w:r>
              <w:rPr>
                <w:b/>
                <w:sz w:val="20"/>
                <w:szCs w:val="20"/>
              </w:rPr>
              <w:t>39,61</w:t>
            </w:r>
          </w:p>
        </w:tc>
      </w:tr>
    </w:tbl>
    <w:p w14:paraId="3135B248" w14:textId="26893A12" w:rsidR="00F562AE" w:rsidRDefault="000B5664" w:rsidP="00F562AE">
      <w:pPr>
        <w:pStyle w:val="Tijeloteksta"/>
        <w:jc w:val="both"/>
      </w:pPr>
      <w:r>
        <w:t>P</w:t>
      </w:r>
      <w:r w:rsidR="00F562AE">
        <w:t xml:space="preserve">rojekt </w:t>
      </w:r>
      <w:proofErr w:type="spellStart"/>
      <w:r w:rsidR="00F562AE">
        <w:t>MicroDrink</w:t>
      </w:r>
      <w:proofErr w:type="spellEnd"/>
      <w:r w:rsidR="00F562AE">
        <w:t xml:space="preserve"> - "</w:t>
      </w:r>
      <w:proofErr w:type="spellStart"/>
      <w:r w:rsidR="00F562AE">
        <w:t>Capacity</w:t>
      </w:r>
      <w:proofErr w:type="spellEnd"/>
      <w:r w:rsidR="00F562AE">
        <w:t xml:space="preserve"> </w:t>
      </w:r>
      <w:proofErr w:type="spellStart"/>
      <w:r w:rsidR="00F562AE">
        <w:t>building</w:t>
      </w:r>
      <w:proofErr w:type="spellEnd"/>
      <w:r w:rsidR="00F562AE">
        <w:t xml:space="preserve"> for management </w:t>
      </w:r>
      <w:proofErr w:type="spellStart"/>
      <w:r w:rsidR="00F562AE">
        <w:t>and</w:t>
      </w:r>
      <w:proofErr w:type="spellEnd"/>
      <w:r w:rsidR="00F562AE">
        <w:t xml:space="preserve"> </w:t>
      </w:r>
      <w:proofErr w:type="spellStart"/>
      <w:r w:rsidR="00F562AE">
        <w:t>governance</w:t>
      </w:r>
      <w:proofErr w:type="spellEnd"/>
      <w:r w:rsidR="00F562AE">
        <w:t xml:space="preserve"> </w:t>
      </w:r>
      <w:proofErr w:type="spellStart"/>
      <w:r w:rsidR="00F562AE">
        <w:t>of</w:t>
      </w:r>
      <w:proofErr w:type="spellEnd"/>
      <w:r w:rsidR="00F562AE">
        <w:t xml:space="preserve"> </w:t>
      </w:r>
      <w:proofErr w:type="spellStart"/>
      <w:r w:rsidR="00F562AE">
        <w:t>MICROplastics</w:t>
      </w:r>
      <w:proofErr w:type="spellEnd"/>
      <w:r w:rsidR="00F562AE">
        <w:t xml:space="preserve"> </w:t>
      </w:r>
      <w:proofErr w:type="spellStart"/>
      <w:r w:rsidR="00F562AE">
        <w:t>in</w:t>
      </w:r>
      <w:proofErr w:type="spellEnd"/>
      <w:r w:rsidR="00F562AE">
        <w:t xml:space="preserve"> </w:t>
      </w:r>
      <w:proofErr w:type="spellStart"/>
      <w:r w:rsidR="00F562AE">
        <w:t>DRINKing</w:t>
      </w:r>
      <w:proofErr w:type="spellEnd"/>
      <w:r w:rsidR="00F562AE">
        <w:t xml:space="preserve"> water </w:t>
      </w:r>
      <w:proofErr w:type="spellStart"/>
      <w:r w:rsidR="00F562AE">
        <w:t>resources</w:t>
      </w:r>
      <w:proofErr w:type="spellEnd"/>
      <w:r w:rsidR="00F562AE">
        <w:t xml:space="preserve"> </w:t>
      </w:r>
      <w:proofErr w:type="spellStart"/>
      <w:r w:rsidR="00F562AE">
        <w:t>of</w:t>
      </w:r>
      <w:proofErr w:type="spellEnd"/>
      <w:r w:rsidR="00F562AE">
        <w:t xml:space="preserve"> Danube </w:t>
      </w:r>
      <w:proofErr w:type="spellStart"/>
      <w:r w:rsidR="00F562AE">
        <w:t>Region</w:t>
      </w:r>
      <w:proofErr w:type="spellEnd"/>
      <w:r w:rsidR="00F562AE">
        <w:t xml:space="preserve">" - "Izgradnja kapaciteta za rukovođenje i upravljanje </w:t>
      </w:r>
      <w:proofErr w:type="spellStart"/>
      <w:r w:rsidR="00F562AE">
        <w:t>MIKROplastikom</w:t>
      </w:r>
      <w:proofErr w:type="spellEnd"/>
      <w:r w:rsidR="00F562AE">
        <w:t xml:space="preserve"> u izvorima pitke vode u Dunavskoj regiji“ </w:t>
      </w:r>
      <w:r>
        <w:t>-</w:t>
      </w:r>
      <w:r w:rsidR="00F562AE">
        <w:t xml:space="preserve"> ugovor </w:t>
      </w:r>
      <w:r>
        <w:t xml:space="preserve">je </w:t>
      </w:r>
      <w:r w:rsidR="00F562AE">
        <w:t>stupio na snagu 26. 2. 2024 .</w:t>
      </w:r>
    </w:p>
    <w:p w14:paraId="74054873" w14:textId="77777777" w:rsidR="00F562AE" w:rsidRDefault="00F562AE" w:rsidP="00F562AE">
      <w:pPr>
        <w:pStyle w:val="Tijeloteksta"/>
        <w:jc w:val="both"/>
      </w:pPr>
      <w:r>
        <w:t>Ukupni odobreni iznos za projektni prijedlog iznosi 2.351.480,00 EUR. Ukupni odobreni iznos projekta za Zavod je 136.000,00 EUR. EU sufinanciranje je 80%.</w:t>
      </w:r>
    </w:p>
    <w:p w14:paraId="03F9EBAA" w14:textId="77777777" w:rsidR="00A40553" w:rsidRDefault="00A40553" w:rsidP="00F562AE">
      <w:pPr>
        <w:pStyle w:val="Tijeloteksta"/>
        <w:jc w:val="both"/>
      </w:pPr>
    </w:p>
    <w:p w14:paraId="25D28AD0" w14:textId="04B31EC7" w:rsidR="00A40553" w:rsidRDefault="00A40553" w:rsidP="00F562AE">
      <w:pPr>
        <w:pStyle w:val="Tijeloteksta"/>
        <w:jc w:val="both"/>
      </w:pPr>
      <w:r w:rsidRPr="00A40553">
        <w:t>Izvršenje financijskog plana u ovom izvještajnom razdoblju za navedeni projekt je u skladu s planiranim</w:t>
      </w:r>
      <w:r w:rsidR="000B3D6B">
        <w:t xml:space="preserve"> aktivnostima te prati stvarno nastale troškove za navedeni projekt u ovom razdoblju.</w:t>
      </w:r>
    </w:p>
    <w:p w14:paraId="12C650E3" w14:textId="77777777" w:rsidR="00A40553" w:rsidRDefault="00A40553" w:rsidP="00F562AE">
      <w:pPr>
        <w:pStyle w:val="Tijeloteksta"/>
        <w:jc w:val="both"/>
      </w:pPr>
    </w:p>
    <w:p w14:paraId="09B94AE2" w14:textId="77777777" w:rsidR="00F562AE" w:rsidRDefault="00F562AE" w:rsidP="00F562AE">
      <w:pPr>
        <w:pStyle w:val="Tijeloteksta"/>
        <w:jc w:val="both"/>
      </w:pPr>
      <w:r>
        <w:t>Ova bespovratna sredstva financiranju se iz Programa transnacionalne suradnje dunavske regije 2021. – 2027. - 1. poziv.</w:t>
      </w:r>
    </w:p>
    <w:p w14:paraId="247A712E" w14:textId="77777777" w:rsidR="00F562AE" w:rsidRDefault="00F562AE" w:rsidP="00F562AE">
      <w:pPr>
        <w:pStyle w:val="Tijeloteksta"/>
        <w:jc w:val="both"/>
      </w:pPr>
      <w:r>
        <w:t xml:space="preserve"> Nositelj projekta je Hrvatski geološki institut, a Zavod je partner na projektu. Razdoblje provedbe je od 1. 1. 2024. do 30. 6. 2026. godine (30 mjeseci).</w:t>
      </w:r>
    </w:p>
    <w:p w14:paraId="67AE2997" w14:textId="0854CA94" w:rsidR="00F562AE" w:rsidRDefault="00F562AE" w:rsidP="00F562AE">
      <w:pPr>
        <w:pStyle w:val="Tijeloteksta"/>
        <w:jc w:val="both"/>
      </w:pPr>
      <w:r>
        <w:t xml:space="preserve">Glavni cilj projekta </w:t>
      </w:r>
      <w:proofErr w:type="spellStart"/>
      <w:r>
        <w:t>MicroDrink</w:t>
      </w:r>
      <w:proofErr w:type="spellEnd"/>
      <w:r>
        <w:t xml:space="preserve"> je poboljšati izgradnju kapaciteta i upravljanja na različitim razinama za upravljanje i sprječavanje onečišćenja </w:t>
      </w:r>
      <w:proofErr w:type="spellStart"/>
      <w:r>
        <w:t>mikroplastikom</w:t>
      </w:r>
      <w:proofErr w:type="spellEnd"/>
      <w:r>
        <w:t xml:space="preserve"> u izvorima pitke vode u dunavskoj regiji (AT, BA, CZ, DE, HU, HR, SI, RS) jačanjem znanja donositelja politika i odluka te osiguravanjem njihove suradnje s praktičarima i znanstvenom zajednicom. </w:t>
      </w:r>
      <w:proofErr w:type="spellStart"/>
      <w:r>
        <w:lastRenderedPageBreak/>
        <w:t>MicroDrink</w:t>
      </w:r>
      <w:proofErr w:type="spellEnd"/>
      <w:r>
        <w:t xml:space="preserve"> će zajednički prikupljati, valorizirati i proširiti postojeće znanje o uzorkovanju, analizi, ublažavanju i sprječavanju </w:t>
      </w:r>
      <w:proofErr w:type="spellStart"/>
      <w:r>
        <w:t>mikroplastike</w:t>
      </w:r>
      <w:proofErr w:type="spellEnd"/>
      <w:r>
        <w:t xml:space="preserve"> u vodi za piće.</w:t>
      </w:r>
    </w:p>
    <w:p w14:paraId="540C3D91" w14:textId="77777777" w:rsidR="00F562AE" w:rsidRDefault="00F562AE" w:rsidP="007A68D0">
      <w:pPr>
        <w:pStyle w:val="Tijeloteksta"/>
        <w:jc w:val="both"/>
      </w:pPr>
    </w:p>
    <w:p w14:paraId="5FB4D0F2" w14:textId="77777777" w:rsidR="00165BB5" w:rsidRDefault="00165BB5" w:rsidP="00165BB5">
      <w:pPr>
        <w:jc w:val="both"/>
        <w:rPr>
          <w:sz w:val="24"/>
          <w:szCs w:val="24"/>
        </w:rPr>
      </w:pPr>
      <w:r>
        <w:rPr>
          <w:b/>
          <w:sz w:val="24"/>
          <w:szCs w:val="24"/>
        </w:rPr>
        <w:t>Aktivnost T4303-16</w:t>
      </w:r>
      <w:r w:rsidRPr="00BD4074">
        <w:rPr>
          <w:b/>
          <w:sz w:val="24"/>
          <w:szCs w:val="24"/>
        </w:rPr>
        <w:t xml:space="preserve"> – Specijalističko usavršavanje doktora medicine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C214E6" w:rsidRPr="000158B6" w14:paraId="1A8A3065" w14:textId="77777777" w:rsidTr="00197BCE">
        <w:trPr>
          <w:trHeight w:val="1154"/>
          <w:jc w:val="center"/>
        </w:trPr>
        <w:tc>
          <w:tcPr>
            <w:tcW w:w="1260" w:type="dxa"/>
            <w:shd w:val="clear" w:color="auto" w:fill="D9D9D9"/>
          </w:tcPr>
          <w:p w14:paraId="4ECF113E" w14:textId="72B5049E" w:rsidR="00C214E6" w:rsidRPr="000158B6" w:rsidRDefault="00C214E6" w:rsidP="00C214E6">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78D56358" w14:textId="1675C282" w:rsidR="00C214E6" w:rsidRPr="000158B6" w:rsidRDefault="00C214E6" w:rsidP="00C214E6">
            <w:pPr>
              <w:spacing w:before="120"/>
              <w:jc w:val="both"/>
              <w:rPr>
                <w:b/>
                <w:sz w:val="20"/>
                <w:szCs w:val="20"/>
              </w:rPr>
            </w:pPr>
            <w:r>
              <w:t>Izvršenje financijskog plana 01.01.2024.-30.06.2024.</w:t>
            </w:r>
          </w:p>
        </w:tc>
        <w:tc>
          <w:tcPr>
            <w:tcW w:w="1371" w:type="dxa"/>
            <w:shd w:val="clear" w:color="auto" w:fill="D9D9D9"/>
          </w:tcPr>
          <w:p w14:paraId="2D510F6C" w14:textId="10C88B9F" w:rsidR="00C214E6" w:rsidRPr="000158B6" w:rsidRDefault="00C214E6" w:rsidP="00C214E6">
            <w:pPr>
              <w:spacing w:before="120"/>
              <w:jc w:val="both"/>
              <w:rPr>
                <w:b/>
                <w:sz w:val="20"/>
                <w:szCs w:val="20"/>
              </w:rPr>
            </w:pPr>
            <w:r>
              <w:t>Financijski plan 2025. godine</w:t>
            </w:r>
          </w:p>
        </w:tc>
        <w:tc>
          <w:tcPr>
            <w:tcW w:w="1683" w:type="dxa"/>
            <w:shd w:val="clear" w:color="auto" w:fill="D9D9D9"/>
          </w:tcPr>
          <w:p w14:paraId="19C95DCE" w14:textId="55C3B4F5" w:rsidR="00C214E6" w:rsidRPr="000158B6" w:rsidRDefault="00C214E6" w:rsidP="00C214E6">
            <w:pPr>
              <w:spacing w:before="120"/>
              <w:jc w:val="both"/>
              <w:rPr>
                <w:b/>
                <w:sz w:val="20"/>
                <w:szCs w:val="20"/>
              </w:rPr>
            </w:pPr>
            <w:r>
              <w:t>Financijski plana 2025. – 1. rebalans</w:t>
            </w:r>
          </w:p>
        </w:tc>
        <w:tc>
          <w:tcPr>
            <w:tcW w:w="1779" w:type="dxa"/>
            <w:shd w:val="clear" w:color="auto" w:fill="D9D9D9"/>
          </w:tcPr>
          <w:p w14:paraId="5D206AD2" w14:textId="79C3E9FA" w:rsidR="00C214E6" w:rsidRPr="000158B6" w:rsidRDefault="00C214E6" w:rsidP="00C214E6">
            <w:pPr>
              <w:spacing w:before="120"/>
              <w:jc w:val="both"/>
              <w:rPr>
                <w:b/>
                <w:sz w:val="20"/>
                <w:szCs w:val="20"/>
              </w:rPr>
            </w:pPr>
            <w:r>
              <w:t>Izvršenje financijskog plana 01.01.2025. – 30.06.2025.</w:t>
            </w:r>
          </w:p>
        </w:tc>
        <w:tc>
          <w:tcPr>
            <w:tcW w:w="1276" w:type="dxa"/>
            <w:shd w:val="clear" w:color="auto" w:fill="D9D9D9"/>
          </w:tcPr>
          <w:p w14:paraId="3FAEE2F7" w14:textId="0EB5E600" w:rsidR="00C214E6" w:rsidRPr="000158B6" w:rsidRDefault="00C214E6" w:rsidP="00C214E6">
            <w:pPr>
              <w:spacing w:before="120"/>
              <w:jc w:val="both"/>
              <w:rPr>
                <w:b/>
                <w:sz w:val="20"/>
                <w:szCs w:val="20"/>
              </w:rPr>
            </w:pPr>
            <w:r>
              <w:t>Izvršenje u odnosu na 2024.g.</w:t>
            </w:r>
          </w:p>
        </w:tc>
        <w:tc>
          <w:tcPr>
            <w:tcW w:w="1559" w:type="dxa"/>
            <w:shd w:val="clear" w:color="auto" w:fill="D9D9D9"/>
          </w:tcPr>
          <w:p w14:paraId="73453D47" w14:textId="77777777" w:rsidR="00C214E6" w:rsidRDefault="00C214E6" w:rsidP="00C214E6">
            <w:r>
              <w:t xml:space="preserve">Izvršenje u odnosu na </w:t>
            </w:r>
            <w:proofErr w:type="spellStart"/>
            <w:r>
              <w:t>fin.plan</w:t>
            </w:r>
            <w:proofErr w:type="spellEnd"/>
            <w:r>
              <w:t xml:space="preserve"> za 2025.g. (1. rebalans)</w:t>
            </w:r>
          </w:p>
          <w:p w14:paraId="1CCA5E23" w14:textId="77777777" w:rsidR="00C214E6" w:rsidRPr="000158B6" w:rsidRDefault="00C214E6" w:rsidP="00C214E6">
            <w:pPr>
              <w:spacing w:before="120"/>
              <w:jc w:val="both"/>
              <w:rPr>
                <w:b/>
                <w:sz w:val="20"/>
                <w:szCs w:val="20"/>
              </w:rPr>
            </w:pPr>
          </w:p>
        </w:tc>
      </w:tr>
      <w:tr w:rsidR="00165BB5" w:rsidRPr="000158B6" w14:paraId="7B638A5C" w14:textId="77777777" w:rsidTr="00197BCE">
        <w:trPr>
          <w:trHeight w:val="737"/>
          <w:jc w:val="center"/>
        </w:trPr>
        <w:tc>
          <w:tcPr>
            <w:tcW w:w="1260" w:type="dxa"/>
          </w:tcPr>
          <w:p w14:paraId="426F57B3" w14:textId="77777777" w:rsidR="00165BB5" w:rsidRPr="000158B6" w:rsidRDefault="00165BB5" w:rsidP="00197BCE">
            <w:pPr>
              <w:spacing w:before="120"/>
              <w:jc w:val="both"/>
              <w:rPr>
                <w:b/>
                <w:sz w:val="20"/>
                <w:szCs w:val="20"/>
              </w:rPr>
            </w:pPr>
            <w:r w:rsidRPr="000158B6">
              <w:rPr>
                <w:b/>
                <w:sz w:val="20"/>
                <w:szCs w:val="20"/>
              </w:rPr>
              <w:t>Šifra programa</w:t>
            </w:r>
          </w:p>
          <w:p w14:paraId="44845308" w14:textId="3FBF81E4" w:rsidR="00165BB5" w:rsidRPr="000158B6" w:rsidRDefault="00165BB5" w:rsidP="00165BB5">
            <w:pPr>
              <w:spacing w:before="120"/>
              <w:jc w:val="both"/>
              <w:rPr>
                <w:b/>
                <w:sz w:val="20"/>
                <w:szCs w:val="20"/>
              </w:rPr>
            </w:pPr>
            <w:r>
              <w:rPr>
                <w:b/>
                <w:sz w:val="20"/>
                <w:szCs w:val="20"/>
              </w:rPr>
              <w:t>T-4303-16</w:t>
            </w:r>
          </w:p>
        </w:tc>
        <w:tc>
          <w:tcPr>
            <w:tcW w:w="1415" w:type="dxa"/>
          </w:tcPr>
          <w:p w14:paraId="23722E0E" w14:textId="05855E7A" w:rsidR="00165BB5" w:rsidRPr="000158B6" w:rsidRDefault="00036CDF" w:rsidP="00197BCE">
            <w:pPr>
              <w:spacing w:before="120"/>
              <w:jc w:val="both"/>
              <w:rPr>
                <w:b/>
                <w:sz w:val="20"/>
                <w:szCs w:val="20"/>
              </w:rPr>
            </w:pPr>
            <w:r>
              <w:rPr>
                <w:b/>
                <w:sz w:val="20"/>
                <w:szCs w:val="20"/>
              </w:rPr>
              <w:t>21.458,64</w:t>
            </w:r>
          </w:p>
        </w:tc>
        <w:tc>
          <w:tcPr>
            <w:tcW w:w="1371" w:type="dxa"/>
          </w:tcPr>
          <w:p w14:paraId="6E5D81E3" w14:textId="68862C95" w:rsidR="00165BB5" w:rsidRPr="000158B6" w:rsidRDefault="00036CDF" w:rsidP="00197BCE">
            <w:pPr>
              <w:spacing w:before="120"/>
              <w:jc w:val="both"/>
              <w:rPr>
                <w:b/>
                <w:sz w:val="20"/>
                <w:szCs w:val="20"/>
              </w:rPr>
            </w:pPr>
            <w:r>
              <w:rPr>
                <w:b/>
                <w:sz w:val="20"/>
                <w:szCs w:val="20"/>
              </w:rPr>
              <w:t>94.565,44</w:t>
            </w:r>
          </w:p>
        </w:tc>
        <w:tc>
          <w:tcPr>
            <w:tcW w:w="1683" w:type="dxa"/>
          </w:tcPr>
          <w:p w14:paraId="144CC127" w14:textId="28E8424E" w:rsidR="00165BB5" w:rsidRPr="000158B6" w:rsidRDefault="00036CDF" w:rsidP="00197BCE">
            <w:pPr>
              <w:spacing w:before="120"/>
              <w:jc w:val="both"/>
              <w:rPr>
                <w:b/>
                <w:sz w:val="20"/>
                <w:szCs w:val="20"/>
              </w:rPr>
            </w:pPr>
            <w:r>
              <w:rPr>
                <w:b/>
                <w:sz w:val="20"/>
                <w:szCs w:val="20"/>
              </w:rPr>
              <w:t>94.565,44</w:t>
            </w:r>
          </w:p>
        </w:tc>
        <w:tc>
          <w:tcPr>
            <w:tcW w:w="1779" w:type="dxa"/>
          </w:tcPr>
          <w:p w14:paraId="5F9AA6FE" w14:textId="714461DB" w:rsidR="00165BB5" w:rsidRPr="000158B6" w:rsidRDefault="00036CDF" w:rsidP="00197BCE">
            <w:pPr>
              <w:spacing w:before="120"/>
              <w:jc w:val="both"/>
              <w:rPr>
                <w:b/>
                <w:sz w:val="20"/>
                <w:szCs w:val="20"/>
              </w:rPr>
            </w:pPr>
            <w:r>
              <w:rPr>
                <w:b/>
                <w:sz w:val="20"/>
                <w:szCs w:val="20"/>
              </w:rPr>
              <w:t>36.314,12</w:t>
            </w:r>
          </w:p>
        </w:tc>
        <w:tc>
          <w:tcPr>
            <w:tcW w:w="1276" w:type="dxa"/>
          </w:tcPr>
          <w:p w14:paraId="4B055675" w14:textId="676AFF40" w:rsidR="00165BB5" w:rsidRPr="000158B6" w:rsidRDefault="00036CDF" w:rsidP="00197BCE">
            <w:pPr>
              <w:spacing w:before="120"/>
              <w:jc w:val="both"/>
              <w:rPr>
                <w:b/>
                <w:sz w:val="20"/>
                <w:szCs w:val="20"/>
              </w:rPr>
            </w:pPr>
            <w:r>
              <w:rPr>
                <w:b/>
                <w:sz w:val="20"/>
                <w:szCs w:val="20"/>
              </w:rPr>
              <w:t>0</w:t>
            </w:r>
          </w:p>
        </w:tc>
        <w:tc>
          <w:tcPr>
            <w:tcW w:w="1559" w:type="dxa"/>
          </w:tcPr>
          <w:p w14:paraId="26D2ADD5" w14:textId="0ECF1B49" w:rsidR="00165BB5" w:rsidRPr="000158B6" w:rsidRDefault="00036CDF" w:rsidP="00197BCE">
            <w:pPr>
              <w:spacing w:before="120"/>
              <w:jc w:val="both"/>
              <w:rPr>
                <w:b/>
                <w:sz w:val="20"/>
                <w:szCs w:val="20"/>
              </w:rPr>
            </w:pPr>
            <w:r>
              <w:rPr>
                <w:b/>
                <w:sz w:val="20"/>
                <w:szCs w:val="20"/>
              </w:rPr>
              <w:t>38,40</w:t>
            </w:r>
          </w:p>
        </w:tc>
      </w:tr>
    </w:tbl>
    <w:p w14:paraId="113E63C5" w14:textId="773E5C93" w:rsidR="00165BB5" w:rsidRDefault="00A674E6" w:rsidP="00165BB5">
      <w:pPr>
        <w:jc w:val="both"/>
        <w:rPr>
          <w:sz w:val="24"/>
          <w:szCs w:val="24"/>
        </w:rPr>
      </w:pPr>
      <w:r>
        <w:rPr>
          <w:sz w:val="24"/>
          <w:szCs w:val="24"/>
        </w:rPr>
        <w:t>P</w:t>
      </w:r>
      <w:r w:rsidR="00165BB5" w:rsidRPr="00710117">
        <w:rPr>
          <w:sz w:val="24"/>
          <w:szCs w:val="24"/>
        </w:rPr>
        <w:t>rojekt „Specijalističko usavršavanje doktora medicine u Zavod</w:t>
      </w:r>
      <w:r>
        <w:rPr>
          <w:sz w:val="24"/>
          <w:szCs w:val="24"/>
        </w:rPr>
        <w:t xml:space="preserve">u za javno zdravstvo Zadar II“, je </w:t>
      </w:r>
      <w:r w:rsidR="00165BB5" w:rsidRPr="00710117">
        <w:rPr>
          <w:sz w:val="24"/>
          <w:szCs w:val="24"/>
        </w:rPr>
        <w:t>prijavljen na ograničen poziv na dodjelu bespovratnih sredstava C5.1.R3.- I1 Centralno financiranje specijalizacija 28. 3. 2024 godine.</w:t>
      </w:r>
    </w:p>
    <w:p w14:paraId="2E726E36" w14:textId="77777777" w:rsidR="000B3D6B" w:rsidRDefault="000B3D6B" w:rsidP="00165BB5">
      <w:pPr>
        <w:jc w:val="both"/>
        <w:rPr>
          <w:sz w:val="24"/>
          <w:szCs w:val="24"/>
        </w:rPr>
      </w:pPr>
    </w:p>
    <w:p w14:paraId="76FADC5D" w14:textId="7BCD74A2" w:rsidR="000B3D6B" w:rsidRDefault="006F2EFB" w:rsidP="00165BB5">
      <w:pPr>
        <w:jc w:val="both"/>
        <w:rPr>
          <w:sz w:val="24"/>
          <w:szCs w:val="24"/>
        </w:rPr>
      </w:pPr>
      <w:r w:rsidRPr="006F2EFB">
        <w:rPr>
          <w:sz w:val="24"/>
          <w:szCs w:val="24"/>
        </w:rPr>
        <w:t>Izvršenje financijskog plana u ovom izvještajnom razdoblju za navedeni projekt je u skladu s planiranim aktivnostima te prati stvarno nastale troškove za navedeni projekt u ovom razdoblju</w:t>
      </w:r>
      <w:r>
        <w:rPr>
          <w:sz w:val="24"/>
          <w:szCs w:val="24"/>
        </w:rPr>
        <w:t>.</w:t>
      </w:r>
    </w:p>
    <w:p w14:paraId="664EE5A9" w14:textId="77777777" w:rsidR="006F2EFB" w:rsidRPr="00710117" w:rsidRDefault="006F2EFB" w:rsidP="00165BB5">
      <w:pPr>
        <w:jc w:val="both"/>
        <w:rPr>
          <w:sz w:val="24"/>
          <w:szCs w:val="24"/>
        </w:rPr>
      </w:pPr>
    </w:p>
    <w:p w14:paraId="21864566" w14:textId="77777777" w:rsidR="00165BB5" w:rsidRPr="00710117" w:rsidRDefault="00165BB5" w:rsidP="00165BB5">
      <w:pPr>
        <w:jc w:val="both"/>
        <w:rPr>
          <w:sz w:val="24"/>
          <w:szCs w:val="24"/>
        </w:rPr>
      </w:pPr>
      <w:r w:rsidRPr="00710117">
        <w:rPr>
          <w:sz w:val="24"/>
          <w:szCs w:val="24"/>
        </w:rPr>
        <w:t>Ministarstvo zdravstva, u svojstvu Tijela državne uprave nadležnog za komponentu/</w:t>
      </w:r>
      <w:proofErr w:type="spellStart"/>
      <w:r w:rsidRPr="00710117">
        <w:rPr>
          <w:sz w:val="24"/>
          <w:szCs w:val="24"/>
        </w:rPr>
        <w:t>podkomponentu</w:t>
      </w:r>
      <w:proofErr w:type="spellEnd"/>
      <w:r w:rsidRPr="00710117">
        <w:rPr>
          <w:sz w:val="24"/>
          <w:szCs w:val="24"/>
        </w:rPr>
        <w:t xml:space="preserve"> Nacionalnog plana oporavka i otpornosti, izvršilo je fazu administrativne provjere i fazu procjene kvalitete,  dok je Hrvatski zavod za zapošljavanje, u svojstvu Provedbenog tijela, dovršio fazu procjene kvalitete za ovaj projektni prijedlog.</w:t>
      </w:r>
    </w:p>
    <w:p w14:paraId="372122D0" w14:textId="77777777" w:rsidR="00165BB5" w:rsidRPr="00710117" w:rsidRDefault="00165BB5" w:rsidP="00165BB5">
      <w:pPr>
        <w:jc w:val="both"/>
        <w:rPr>
          <w:sz w:val="24"/>
          <w:szCs w:val="24"/>
        </w:rPr>
      </w:pPr>
      <w:r w:rsidRPr="00710117">
        <w:rPr>
          <w:sz w:val="24"/>
          <w:szCs w:val="24"/>
        </w:rPr>
        <w:t>Slijedom izvršenih provjera, projektni prijedlog prošao je fazu procjene kvalitete te ulazi u treću fazu, donošenje Odluke o financiranju. Potpisivanje ugovora očekujemo u rujnu 2024. godine.</w:t>
      </w:r>
    </w:p>
    <w:p w14:paraId="0D41475A" w14:textId="77777777" w:rsidR="00165BB5" w:rsidRPr="00710117" w:rsidRDefault="00165BB5" w:rsidP="00165BB5">
      <w:pPr>
        <w:jc w:val="both"/>
        <w:rPr>
          <w:sz w:val="24"/>
          <w:szCs w:val="24"/>
        </w:rPr>
      </w:pPr>
      <w:r w:rsidRPr="00710117">
        <w:rPr>
          <w:sz w:val="24"/>
          <w:szCs w:val="24"/>
        </w:rPr>
        <w:t>Ukupni odobreni iznos za projektni prijedlog iznosi 399.861,20 EUR. Ova 100% bespovratna sredstva financiranju se iz Nacionalnog plana oporavka i otpornosti 2021.-2026. (NPOO).</w:t>
      </w:r>
    </w:p>
    <w:p w14:paraId="1C5B0D9B" w14:textId="77777777" w:rsidR="00165BB5" w:rsidRPr="00710117" w:rsidRDefault="00165BB5" w:rsidP="00165BB5">
      <w:pPr>
        <w:jc w:val="both"/>
        <w:rPr>
          <w:b/>
          <w:bCs/>
          <w:sz w:val="24"/>
          <w:szCs w:val="24"/>
        </w:rPr>
      </w:pPr>
      <w:r w:rsidRPr="00710117">
        <w:rPr>
          <w:sz w:val="24"/>
          <w:szCs w:val="24"/>
        </w:rPr>
        <w:t>Nositelj projekta je Zavod za javno zdravstvo Zadar. Očekivano razdoblje provedbe je od 1. 3. 2024. godine do 1. 11. 2028. godine (56 mjeseci).</w:t>
      </w:r>
    </w:p>
    <w:p w14:paraId="6C25B8D7" w14:textId="77777777" w:rsidR="00165BB5" w:rsidRPr="00710117" w:rsidRDefault="00165BB5" w:rsidP="00165BB5">
      <w:pPr>
        <w:jc w:val="both"/>
        <w:rPr>
          <w:sz w:val="24"/>
          <w:szCs w:val="24"/>
        </w:rPr>
      </w:pPr>
      <w:r w:rsidRPr="00710117">
        <w:rPr>
          <w:sz w:val="24"/>
          <w:szCs w:val="24"/>
        </w:rPr>
        <w:t>Projektom ''Specijalističko usavršavanje doktora medicine u Zavodu za javno zdravstvo Zadar II“  provest će se specijalističko usavršavanje jednog doktora epidemiologije te jednog doktora školske i adolescentne medicine (2 nove specijalizacije). U cilju osiguranja dugoročne održivosti Mreže javne zdravstvene službe potrebno je osigurati novi kadar za nadomještanje odlazaka postojećih specijalista u mirovinu.</w:t>
      </w:r>
    </w:p>
    <w:p w14:paraId="7E30FF85" w14:textId="77777777" w:rsidR="00165BB5" w:rsidRPr="00710117" w:rsidRDefault="00165BB5" w:rsidP="00165BB5">
      <w:pPr>
        <w:jc w:val="both"/>
        <w:rPr>
          <w:sz w:val="24"/>
          <w:szCs w:val="24"/>
        </w:rPr>
      </w:pPr>
      <w:r w:rsidRPr="00710117">
        <w:rPr>
          <w:sz w:val="24"/>
          <w:szCs w:val="24"/>
        </w:rPr>
        <w:t>Glavni cilj ovog projekta je osigurati funkcioniranje zdravstvenog sustava i obnovu kadrova na razini primarne zdravstvene zaštite u Zadarskoj županiji. Najveću korist od provedbe projekta imat će Zavod za javno zdravstvo Zadar, djelatnici koji će se specijalistički usavršiti te korisnici usluga primarne zdravstvene zaštite.</w:t>
      </w:r>
    </w:p>
    <w:p w14:paraId="74A2D856" w14:textId="77777777" w:rsidR="00F562AE" w:rsidRDefault="00F562AE" w:rsidP="007A68D0">
      <w:pPr>
        <w:pStyle w:val="Tijeloteksta"/>
        <w:jc w:val="both"/>
      </w:pPr>
    </w:p>
    <w:p w14:paraId="5E8C94EC" w14:textId="77777777" w:rsidR="00036CDF" w:rsidRDefault="00036CDF" w:rsidP="00036CDF">
      <w:pPr>
        <w:jc w:val="both"/>
        <w:rPr>
          <w:b/>
          <w:sz w:val="24"/>
          <w:szCs w:val="24"/>
        </w:rPr>
      </w:pPr>
      <w:r w:rsidRPr="00976E44">
        <w:rPr>
          <w:b/>
          <w:sz w:val="24"/>
          <w:szCs w:val="24"/>
        </w:rPr>
        <w:t>Aktivnost T4303-17 – AllerShield</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6F2EFB" w:rsidRPr="00BB41EB" w14:paraId="6AB70CF6" w14:textId="77777777" w:rsidTr="00CF7709">
        <w:trPr>
          <w:trHeight w:val="1154"/>
          <w:jc w:val="center"/>
        </w:trPr>
        <w:tc>
          <w:tcPr>
            <w:tcW w:w="1260" w:type="dxa"/>
            <w:shd w:val="clear" w:color="auto" w:fill="D9D9D9"/>
          </w:tcPr>
          <w:p w14:paraId="15D103F0" w14:textId="7A0D5D37" w:rsidR="006F2EFB" w:rsidRPr="00BB41EB" w:rsidRDefault="006F2EFB" w:rsidP="006F2EFB">
            <w:pPr>
              <w:spacing w:before="120"/>
              <w:jc w:val="both"/>
              <w:rPr>
                <w:b/>
                <w:sz w:val="20"/>
                <w:szCs w:val="20"/>
              </w:rPr>
            </w:pPr>
            <w:r>
              <w:t>Djelatnost ustanove</w:t>
            </w:r>
            <w:r>
              <w:tab/>
            </w:r>
            <w:r>
              <w:rPr>
                <w:spacing w:val="-17"/>
              </w:rPr>
              <w:t xml:space="preserve">u </w:t>
            </w:r>
            <w:r>
              <w:t>zdravstvu</w:t>
            </w:r>
          </w:p>
        </w:tc>
        <w:tc>
          <w:tcPr>
            <w:tcW w:w="1415" w:type="dxa"/>
            <w:shd w:val="clear" w:color="auto" w:fill="D9D9D9"/>
          </w:tcPr>
          <w:p w14:paraId="0E90D6CC" w14:textId="2BBC638D" w:rsidR="006F2EFB" w:rsidRPr="00BB41EB" w:rsidRDefault="006F2EFB" w:rsidP="006F2EFB">
            <w:pPr>
              <w:spacing w:before="120"/>
              <w:jc w:val="both"/>
              <w:rPr>
                <w:b/>
                <w:sz w:val="20"/>
                <w:szCs w:val="20"/>
              </w:rPr>
            </w:pPr>
            <w:r>
              <w:t>Izvršenje financijskog plana 01.01.2024.-30.06.2024.</w:t>
            </w:r>
          </w:p>
        </w:tc>
        <w:tc>
          <w:tcPr>
            <w:tcW w:w="1371" w:type="dxa"/>
            <w:shd w:val="clear" w:color="auto" w:fill="D9D9D9"/>
          </w:tcPr>
          <w:p w14:paraId="658D03F5" w14:textId="4B289BCB" w:rsidR="006F2EFB" w:rsidRPr="00BB41EB" w:rsidRDefault="006F2EFB" w:rsidP="006F2EFB">
            <w:pPr>
              <w:spacing w:before="120"/>
              <w:jc w:val="both"/>
              <w:rPr>
                <w:b/>
                <w:sz w:val="20"/>
                <w:szCs w:val="20"/>
              </w:rPr>
            </w:pPr>
            <w:r>
              <w:t>Financijski plan 2025. godine</w:t>
            </w:r>
          </w:p>
        </w:tc>
        <w:tc>
          <w:tcPr>
            <w:tcW w:w="1683" w:type="dxa"/>
            <w:shd w:val="clear" w:color="auto" w:fill="D9D9D9"/>
          </w:tcPr>
          <w:p w14:paraId="6DDDC284" w14:textId="09F0FE94" w:rsidR="006F2EFB" w:rsidRPr="00BB41EB" w:rsidRDefault="006F2EFB" w:rsidP="006F2EFB">
            <w:pPr>
              <w:spacing w:before="120"/>
              <w:jc w:val="both"/>
              <w:rPr>
                <w:b/>
                <w:sz w:val="20"/>
                <w:szCs w:val="20"/>
              </w:rPr>
            </w:pPr>
            <w:r>
              <w:t>Financijski plana 2025. – 1. rebalans</w:t>
            </w:r>
          </w:p>
        </w:tc>
        <w:tc>
          <w:tcPr>
            <w:tcW w:w="1779" w:type="dxa"/>
            <w:shd w:val="clear" w:color="auto" w:fill="D9D9D9"/>
          </w:tcPr>
          <w:p w14:paraId="6F7C2D19" w14:textId="6218ADD8" w:rsidR="006F2EFB" w:rsidRPr="00BB41EB" w:rsidRDefault="006F2EFB" w:rsidP="006F2EFB">
            <w:pPr>
              <w:spacing w:before="120"/>
              <w:jc w:val="both"/>
              <w:rPr>
                <w:b/>
                <w:sz w:val="20"/>
                <w:szCs w:val="20"/>
              </w:rPr>
            </w:pPr>
            <w:r>
              <w:t>Izvršenje financijskog plana 01.01.2025. – 30.06.2025.</w:t>
            </w:r>
          </w:p>
        </w:tc>
        <w:tc>
          <w:tcPr>
            <w:tcW w:w="1276" w:type="dxa"/>
            <w:shd w:val="clear" w:color="auto" w:fill="D9D9D9"/>
          </w:tcPr>
          <w:p w14:paraId="09DB0EB2" w14:textId="0652974C" w:rsidR="006F2EFB" w:rsidRPr="00BB41EB" w:rsidRDefault="006F2EFB" w:rsidP="006F2EFB">
            <w:pPr>
              <w:spacing w:before="120"/>
              <w:jc w:val="both"/>
              <w:rPr>
                <w:b/>
                <w:sz w:val="20"/>
                <w:szCs w:val="20"/>
              </w:rPr>
            </w:pPr>
            <w:r>
              <w:t>Izvršenje u odnosu na 2024.g.</w:t>
            </w:r>
          </w:p>
        </w:tc>
        <w:tc>
          <w:tcPr>
            <w:tcW w:w="1559" w:type="dxa"/>
            <w:shd w:val="clear" w:color="auto" w:fill="D9D9D9"/>
          </w:tcPr>
          <w:p w14:paraId="2983026C" w14:textId="77777777" w:rsidR="006F2EFB" w:rsidRDefault="006F2EFB" w:rsidP="006F2EFB">
            <w:r>
              <w:t xml:space="preserve">Izvršenje u odnosu na </w:t>
            </w:r>
            <w:proofErr w:type="spellStart"/>
            <w:r>
              <w:t>fin.plan</w:t>
            </w:r>
            <w:proofErr w:type="spellEnd"/>
            <w:r>
              <w:t xml:space="preserve"> za 2025.g. (1. rebalans)</w:t>
            </w:r>
          </w:p>
          <w:p w14:paraId="3C0D710E" w14:textId="77777777" w:rsidR="006F2EFB" w:rsidRPr="00BB41EB" w:rsidRDefault="006F2EFB" w:rsidP="006F2EFB">
            <w:pPr>
              <w:spacing w:before="120"/>
              <w:jc w:val="both"/>
              <w:rPr>
                <w:b/>
                <w:sz w:val="20"/>
                <w:szCs w:val="20"/>
              </w:rPr>
            </w:pPr>
          </w:p>
        </w:tc>
      </w:tr>
      <w:tr w:rsidR="00036CDF" w:rsidRPr="00BB41EB" w14:paraId="06C1FE20" w14:textId="77777777" w:rsidTr="00CF7709">
        <w:trPr>
          <w:trHeight w:val="737"/>
          <w:jc w:val="center"/>
        </w:trPr>
        <w:tc>
          <w:tcPr>
            <w:tcW w:w="1260" w:type="dxa"/>
          </w:tcPr>
          <w:p w14:paraId="0B792245" w14:textId="77777777" w:rsidR="00036CDF" w:rsidRPr="00BB41EB" w:rsidRDefault="00036CDF" w:rsidP="00CF7709">
            <w:pPr>
              <w:spacing w:before="120"/>
              <w:jc w:val="both"/>
              <w:rPr>
                <w:b/>
                <w:sz w:val="20"/>
                <w:szCs w:val="20"/>
              </w:rPr>
            </w:pPr>
            <w:r w:rsidRPr="00BB41EB">
              <w:rPr>
                <w:b/>
                <w:sz w:val="20"/>
                <w:szCs w:val="20"/>
              </w:rPr>
              <w:t>Šifra programa</w:t>
            </w:r>
          </w:p>
          <w:p w14:paraId="41246FEE" w14:textId="77777777" w:rsidR="00036CDF" w:rsidRPr="00BB41EB" w:rsidRDefault="00036CDF" w:rsidP="00CF7709">
            <w:pPr>
              <w:spacing w:before="120"/>
              <w:jc w:val="both"/>
              <w:rPr>
                <w:b/>
                <w:sz w:val="20"/>
                <w:szCs w:val="20"/>
              </w:rPr>
            </w:pPr>
            <w:r w:rsidRPr="00BB41EB">
              <w:rPr>
                <w:b/>
                <w:sz w:val="20"/>
                <w:szCs w:val="20"/>
              </w:rPr>
              <w:t>T-4303-1</w:t>
            </w:r>
            <w:r>
              <w:rPr>
                <w:b/>
                <w:sz w:val="20"/>
                <w:szCs w:val="20"/>
              </w:rPr>
              <w:t>7</w:t>
            </w:r>
          </w:p>
        </w:tc>
        <w:tc>
          <w:tcPr>
            <w:tcW w:w="1415" w:type="dxa"/>
          </w:tcPr>
          <w:p w14:paraId="2DE6E683" w14:textId="58C0E632" w:rsidR="00036CDF" w:rsidRPr="00BB41EB" w:rsidRDefault="00DC287F" w:rsidP="00CF7709">
            <w:pPr>
              <w:spacing w:before="120"/>
              <w:jc w:val="both"/>
              <w:rPr>
                <w:b/>
                <w:sz w:val="20"/>
                <w:szCs w:val="20"/>
              </w:rPr>
            </w:pPr>
            <w:r>
              <w:rPr>
                <w:b/>
                <w:sz w:val="20"/>
                <w:szCs w:val="20"/>
              </w:rPr>
              <w:t>0,00</w:t>
            </w:r>
          </w:p>
        </w:tc>
        <w:tc>
          <w:tcPr>
            <w:tcW w:w="1371" w:type="dxa"/>
          </w:tcPr>
          <w:p w14:paraId="0E25FC65" w14:textId="7B4BE33A" w:rsidR="00036CDF" w:rsidRPr="00BB41EB" w:rsidRDefault="00DC287F" w:rsidP="00CF7709">
            <w:pPr>
              <w:spacing w:before="120"/>
              <w:jc w:val="both"/>
              <w:rPr>
                <w:b/>
                <w:sz w:val="20"/>
                <w:szCs w:val="20"/>
              </w:rPr>
            </w:pPr>
            <w:r>
              <w:rPr>
                <w:b/>
                <w:sz w:val="20"/>
                <w:szCs w:val="20"/>
              </w:rPr>
              <w:t>526.793,00</w:t>
            </w:r>
          </w:p>
        </w:tc>
        <w:tc>
          <w:tcPr>
            <w:tcW w:w="1683" w:type="dxa"/>
          </w:tcPr>
          <w:p w14:paraId="62506922" w14:textId="29592AD2" w:rsidR="00036CDF" w:rsidRPr="00BB41EB" w:rsidRDefault="00DC287F" w:rsidP="00CF7709">
            <w:pPr>
              <w:spacing w:before="120"/>
              <w:jc w:val="both"/>
              <w:rPr>
                <w:b/>
                <w:sz w:val="20"/>
                <w:szCs w:val="20"/>
              </w:rPr>
            </w:pPr>
            <w:r>
              <w:rPr>
                <w:b/>
                <w:sz w:val="20"/>
                <w:szCs w:val="20"/>
              </w:rPr>
              <w:t>517.073,00</w:t>
            </w:r>
          </w:p>
        </w:tc>
        <w:tc>
          <w:tcPr>
            <w:tcW w:w="1779" w:type="dxa"/>
          </w:tcPr>
          <w:p w14:paraId="41DE3144" w14:textId="247CC5C1" w:rsidR="00036CDF" w:rsidRPr="00BB41EB" w:rsidRDefault="00DC287F" w:rsidP="00CF7709">
            <w:pPr>
              <w:spacing w:before="120"/>
              <w:jc w:val="both"/>
              <w:rPr>
                <w:b/>
                <w:sz w:val="20"/>
                <w:szCs w:val="20"/>
              </w:rPr>
            </w:pPr>
            <w:r>
              <w:rPr>
                <w:b/>
                <w:sz w:val="20"/>
                <w:szCs w:val="20"/>
              </w:rPr>
              <w:t>132.535,28</w:t>
            </w:r>
          </w:p>
        </w:tc>
        <w:tc>
          <w:tcPr>
            <w:tcW w:w="1276" w:type="dxa"/>
          </w:tcPr>
          <w:p w14:paraId="0414D779" w14:textId="61BB4498" w:rsidR="00036CDF" w:rsidRPr="00BB41EB" w:rsidRDefault="00DC287F" w:rsidP="00CF7709">
            <w:pPr>
              <w:spacing w:before="120"/>
              <w:jc w:val="both"/>
              <w:rPr>
                <w:b/>
                <w:sz w:val="20"/>
                <w:szCs w:val="20"/>
              </w:rPr>
            </w:pPr>
            <w:r>
              <w:rPr>
                <w:b/>
                <w:sz w:val="20"/>
                <w:szCs w:val="20"/>
              </w:rPr>
              <w:t>0,00</w:t>
            </w:r>
          </w:p>
        </w:tc>
        <w:tc>
          <w:tcPr>
            <w:tcW w:w="1559" w:type="dxa"/>
          </w:tcPr>
          <w:p w14:paraId="2E9AE14C" w14:textId="68435FFF" w:rsidR="00036CDF" w:rsidRPr="00BB41EB" w:rsidRDefault="00DC287F" w:rsidP="00CF7709">
            <w:pPr>
              <w:spacing w:before="120"/>
              <w:jc w:val="both"/>
              <w:rPr>
                <w:b/>
                <w:sz w:val="20"/>
                <w:szCs w:val="20"/>
              </w:rPr>
            </w:pPr>
            <w:r>
              <w:rPr>
                <w:b/>
                <w:sz w:val="20"/>
                <w:szCs w:val="20"/>
              </w:rPr>
              <w:t>25,63</w:t>
            </w:r>
          </w:p>
        </w:tc>
      </w:tr>
    </w:tbl>
    <w:p w14:paraId="5B3EB91C" w14:textId="77777777" w:rsidR="00036CDF" w:rsidRDefault="00036CDF" w:rsidP="00036CDF">
      <w:pPr>
        <w:jc w:val="both"/>
        <w:rPr>
          <w:b/>
          <w:sz w:val="24"/>
          <w:szCs w:val="24"/>
        </w:rPr>
      </w:pPr>
    </w:p>
    <w:p w14:paraId="2AD45A93" w14:textId="39E9C9EF" w:rsidR="00DC287F" w:rsidRDefault="00060DBD" w:rsidP="00060DBD">
      <w:pPr>
        <w:jc w:val="both"/>
        <w:rPr>
          <w:iCs/>
          <w:sz w:val="24"/>
          <w:szCs w:val="24"/>
        </w:rPr>
      </w:pPr>
      <w:r>
        <w:rPr>
          <w:iCs/>
          <w:sz w:val="24"/>
          <w:szCs w:val="24"/>
        </w:rPr>
        <w:t>P</w:t>
      </w:r>
      <w:r w:rsidR="009C24F0">
        <w:rPr>
          <w:iCs/>
          <w:sz w:val="24"/>
          <w:szCs w:val="24"/>
        </w:rPr>
        <w:t>očetak provedbe projekta je 01.07.2024.g. z</w:t>
      </w:r>
      <w:r w:rsidR="000040E8">
        <w:rPr>
          <w:iCs/>
          <w:sz w:val="24"/>
          <w:szCs w:val="24"/>
        </w:rPr>
        <w:t>bog čega je izvršenje u izvj</w:t>
      </w:r>
      <w:r>
        <w:rPr>
          <w:iCs/>
          <w:sz w:val="24"/>
          <w:szCs w:val="24"/>
        </w:rPr>
        <w:t>ešt</w:t>
      </w:r>
      <w:r w:rsidR="009C24F0">
        <w:rPr>
          <w:iCs/>
          <w:sz w:val="24"/>
          <w:szCs w:val="24"/>
        </w:rPr>
        <w:t>a</w:t>
      </w:r>
      <w:r w:rsidR="000040E8">
        <w:rPr>
          <w:iCs/>
          <w:sz w:val="24"/>
          <w:szCs w:val="24"/>
        </w:rPr>
        <w:t>j</w:t>
      </w:r>
      <w:r w:rsidR="009C24F0">
        <w:rPr>
          <w:iCs/>
          <w:sz w:val="24"/>
          <w:szCs w:val="24"/>
        </w:rPr>
        <w:t>nom razdoblju u 2024.g bilo 0,00 eura.</w:t>
      </w:r>
    </w:p>
    <w:p w14:paraId="24C76EF2" w14:textId="11429074" w:rsidR="00972A97" w:rsidRDefault="00972A97" w:rsidP="00060DBD">
      <w:pPr>
        <w:jc w:val="both"/>
        <w:rPr>
          <w:iCs/>
          <w:sz w:val="24"/>
          <w:szCs w:val="24"/>
        </w:rPr>
      </w:pPr>
      <w:r>
        <w:rPr>
          <w:iCs/>
          <w:sz w:val="24"/>
          <w:szCs w:val="24"/>
        </w:rPr>
        <w:t>Izvršenje u prvih 6 mjeseci 2025.g. je u ovisnosti o aktivnostima svih partnera na projektu, te prijavljenim troškovima i njihovim certificiranje</w:t>
      </w:r>
      <w:r w:rsidR="00F31B86">
        <w:rPr>
          <w:iCs/>
          <w:sz w:val="24"/>
          <w:szCs w:val="24"/>
        </w:rPr>
        <w:t>m</w:t>
      </w:r>
      <w:r>
        <w:rPr>
          <w:iCs/>
          <w:sz w:val="24"/>
          <w:szCs w:val="24"/>
        </w:rPr>
        <w:t xml:space="preserve">, </w:t>
      </w:r>
      <w:r w:rsidR="00F31B86">
        <w:rPr>
          <w:iCs/>
          <w:sz w:val="24"/>
          <w:szCs w:val="24"/>
        </w:rPr>
        <w:t>te provedenim postupcima nabave svakog od partnera na ovom projektu.</w:t>
      </w:r>
    </w:p>
    <w:p w14:paraId="7775B3BC" w14:textId="77777777" w:rsidR="009C24F0" w:rsidRDefault="009C24F0" w:rsidP="00036CDF">
      <w:pPr>
        <w:jc w:val="both"/>
        <w:rPr>
          <w:iCs/>
          <w:sz w:val="24"/>
          <w:szCs w:val="24"/>
        </w:rPr>
      </w:pPr>
    </w:p>
    <w:p w14:paraId="760551C7" w14:textId="77777777" w:rsidR="00036CDF" w:rsidRPr="00553A9C" w:rsidRDefault="00036CDF" w:rsidP="00036CDF">
      <w:pPr>
        <w:jc w:val="both"/>
        <w:rPr>
          <w:sz w:val="24"/>
          <w:szCs w:val="24"/>
        </w:rPr>
      </w:pPr>
      <w:r w:rsidRPr="00553A9C">
        <w:rPr>
          <w:iCs/>
          <w:sz w:val="24"/>
          <w:szCs w:val="24"/>
        </w:rPr>
        <w:t xml:space="preserve">Projekt AllerShield (puni naziv: </w:t>
      </w:r>
      <w:proofErr w:type="spellStart"/>
      <w:r w:rsidRPr="00553A9C">
        <w:rPr>
          <w:iCs/>
          <w:sz w:val="24"/>
          <w:szCs w:val="24"/>
        </w:rPr>
        <w:t>Strengthening</w:t>
      </w:r>
      <w:proofErr w:type="spellEnd"/>
      <w:r w:rsidRPr="00553A9C">
        <w:rPr>
          <w:iCs/>
          <w:sz w:val="24"/>
          <w:szCs w:val="24"/>
        </w:rPr>
        <w:t xml:space="preserve"> </w:t>
      </w:r>
      <w:proofErr w:type="spellStart"/>
      <w:r w:rsidRPr="00553A9C">
        <w:rPr>
          <w:iCs/>
          <w:sz w:val="24"/>
          <w:szCs w:val="24"/>
        </w:rPr>
        <w:t>Crossborder</w:t>
      </w:r>
      <w:proofErr w:type="spellEnd"/>
      <w:r w:rsidRPr="00553A9C">
        <w:rPr>
          <w:iCs/>
          <w:sz w:val="24"/>
          <w:szCs w:val="24"/>
        </w:rPr>
        <w:t xml:space="preserve"> </w:t>
      </w:r>
      <w:proofErr w:type="spellStart"/>
      <w:r w:rsidRPr="00553A9C">
        <w:rPr>
          <w:iCs/>
          <w:sz w:val="24"/>
          <w:szCs w:val="24"/>
        </w:rPr>
        <w:t>Solutions</w:t>
      </w:r>
      <w:proofErr w:type="spellEnd"/>
      <w:r w:rsidRPr="00553A9C">
        <w:rPr>
          <w:iCs/>
          <w:sz w:val="24"/>
          <w:szCs w:val="24"/>
        </w:rPr>
        <w:t xml:space="preserve"> for </w:t>
      </w:r>
      <w:proofErr w:type="spellStart"/>
      <w:r w:rsidRPr="00553A9C">
        <w:rPr>
          <w:iCs/>
          <w:sz w:val="24"/>
          <w:szCs w:val="24"/>
        </w:rPr>
        <w:t>Managing</w:t>
      </w:r>
      <w:proofErr w:type="spellEnd"/>
      <w:r w:rsidRPr="00553A9C">
        <w:rPr>
          <w:iCs/>
          <w:sz w:val="24"/>
          <w:szCs w:val="24"/>
        </w:rPr>
        <w:t xml:space="preserve"> </w:t>
      </w:r>
      <w:proofErr w:type="spellStart"/>
      <w:r w:rsidRPr="00553A9C">
        <w:rPr>
          <w:iCs/>
          <w:sz w:val="24"/>
          <w:szCs w:val="24"/>
        </w:rPr>
        <w:t>Allergenic</w:t>
      </w:r>
      <w:proofErr w:type="spellEnd"/>
      <w:r w:rsidRPr="00553A9C">
        <w:rPr>
          <w:iCs/>
          <w:sz w:val="24"/>
          <w:szCs w:val="24"/>
        </w:rPr>
        <w:t xml:space="preserve"> </w:t>
      </w:r>
      <w:proofErr w:type="spellStart"/>
      <w:r w:rsidRPr="00553A9C">
        <w:rPr>
          <w:iCs/>
          <w:sz w:val="24"/>
          <w:szCs w:val="24"/>
        </w:rPr>
        <w:t>Plants</w:t>
      </w:r>
      <w:proofErr w:type="spellEnd"/>
      <w:r w:rsidRPr="00553A9C">
        <w:rPr>
          <w:iCs/>
          <w:sz w:val="24"/>
          <w:szCs w:val="24"/>
        </w:rPr>
        <w:t xml:space="preserve"> </w:t>
      </w:r>
      <w:proofErr w:type="spellStart"/>
      <w:r w:rsidRPr="00553A9C">
        <w:rPr>
          <w:iCs/>
          <w:sz w:val="24"/>
          <w:szCs w:val="24"/>
        </w:rPr>
        <w:t>and</w:t>
      </w:r>
      <w:proofErr w:type="spellEnd"/>
      <w:r w:rsidRPr="00553A9C">
        <w:rPr>
          <w:iCs/>
          <w:sz w:val="24"/>
          <w:szCs w:val="24"/>
        </w:rPr>
        <w:t xml:space="preserve"> </w:t>
      </w:r>
      <w:proofErr w:type="spellStart"/>
      <w:r w:rsidRPr="00553A9C">
        <w:rPr>
          <w:iCs/>
          <w:sz w:val="24"/>
          <w:szCs w:val="24"/>
        </w:rPr>
        <w:t>Enhancing</w:t>
      </w:r>
      <w:proofErr w:type="spellEnd"/>
      <w:r w:rsidRPr="00553A9C">
        <w:rPr>
          <w:iCs/>
          <w:sz w:val="24"/>
          <w:szCs w:val="24"/>
        </w:rPr>
        <w:t xml:space="preserve"> </w:t>
      </w:r>
      <w:proofErr w:type="spellStart"/>
      <w:r w:rsidRPr="00553A9C">
        <w:rPr>
          <w:iCs/>
          <w:sz w:val="24"/>
          <w:szCs w:val="24"/>
        </w:rPr>
        <w:t>Climate</w:t>
      </w:r>
      <w:proofErr w:type="spellEnd"/>
      <w:r w:rsidRPr="00553A9C">
        <w:rPr>
          <w:iCs/>
          <w:sz w:val="24"/>
          <w:szCs w:val="24"/>
        </w:rPr>
        <w:t xml:space="preserve"> </w:t>
      </w:r>
      <w:proofErr w:type="spellStart"/>
      <w:r w:rsidRPr="00553A9C">
        <w:rPr>
          <w:iCs/>
          <w:sz w:val="24"/>
          <w:szCs w:val="24"/>
        </w:rPr>
        <w:t>Resilience</w:t>
      </w:r>
      <w:proofErr w:type="spellEnd"/>
      <w:r w:rsidRPr="00553A9C">
        <w:rPr>
          <w:iCs/>
          <w:sz w:val="24"/>
          <w:szCs w:val="24"/>
        </w:rPr>
        <w:t xml:space="preserve">/ Jačanje prekograničnih rješenja za upravljanje alergenskim biljkama i povećanje otpornosti na klimu) odobren je u sklopu programa </w:t>
      </w:r>
      <w:proofErr w:type="spellStart"/>
      <w:r w:rsidRPr="00553A9C">
        <w:rPr>
          <w:iCs/>
          <w:sz w:val="24"/>
          <w:szCs w:val="24"/>
        </w:rPr>
        <w:t>Interreg</w:t>
      </w:r>
      <w:proofErr w:type="spellEnd"/>
      <w:r w:rsidRPr="00553A9C">
        <w:rPr>
          <w:iCs/>
          <w:sz w:val="24"/>
          <w:szCs w:val="24"/>
        </w:rPr>
        <w:t xml:space="preserve"> IPA CBC Croatia-</w:t>
      </w:r>
      <w:proofErr w:type="spellStart"/>
      <w:r w:rsidRPr="00553A9C">
        <w:rPr>
          <w:iCs/>
          <w:sz w:val="24"/>
          <w:szCs w:val="24"/>
        </w:rPr>
        <w:t>Bosnia</w:t>
      </w:r>
      <w:proofErr w:type="spellEnd"/>
      <w:r w:rsidRPr="00553A9C">
        <w:rPr>
          <w:iCs/>
          <w:sz w:val="24"/>
          <w:szCs w:val="24"/>
        </w:rPr>
        <w:t xml:space="preserve"> </w:t>
      </w:r>
      <w:proofErr w:type="spellStart"/>
      <w:r w:rsidRPr="00553A9C">
        <w:rPr>
          <w:iCs/>
          <w:sz w:val="24"/>
          <w:szCs w:val="24"/>
        </w:rPr>
        <w:t>and</w:t>
      </w:r>
      <w:proofErr w:type="spellEnd"/>
      <w:r w:rsidRPr="00553A9C">
        <w:rPr>
          <w:iCs/>
          <w:sz w:val="24"/>
          <w:szCs w:val="24"/>
        </w:rPr>
        <w:t xml:space="preserve"> </w:t>
      </w:r>
      <w:proofErr w:type="spellStart"/>
      <w:r w:rsidRPr="00553A9C">
        <w:rPr>
          <w:iCs/>
          <w:sz w:val="24"/>
          <w:szCs w:val="24"/>
        </w:rPr>
        <w:t>Herzegovina-Montenegro</w:t>
      </w:r>
      <w:proofErr w:type="spellEnd"/>
      <w:r w:rsidRPr="00553A9C">
        <w:rPr>
          <w:iCs/>
          <w:sz w:val="24"/>
          <w:szCs w:val="24"/>
        </w:rPr>
        <w:t xml:space="preserve"> 2021-2027/ </w:t>
      </w:r>
      <w:proofErr w:type="spellStart"/>
      <w:r w:rsidRPr="00553A9C">
        <w:rPr>
          <w:iCs/>
          <w:sz w:val="24"/>
          <w:szCs w:val="24"/>
        </w:rPr>
        <w:t>Interreg</w:t>
      </w:r>
      <w:proofErr w:type="spellEnd"/>
      <w:r w:rsidRPr="00553A9C">
        <w:rPr>
          <w:iCs/>
          <w:sz w:val="24"/>
          <w:szCs w:val="24"/>
        </w:rPr>
        <w:t xml:space="preserve"> VI-A IPA </w:t>
      </w:r>
      <w:proofErr w:type="spellStart"/>
      <w:r w:rsidRPr="00553A9C">
        <w:rPr>
          <w:iCs/>
          <w:sz w:val="24"/>
          <w:szCs w:val="24"/>
        </w:rPr>
        <w:t>Programme</w:t>
      </w:r>
      <w:proofErr w:type="spellEnd"/>
      <w:r w:rsidRPr="00553A9C">
        <w:rPr>
          <w:iCs/>
          <w:sz w:val="24"/>
          <w:szCs w:val="24"/>
        </w:rPr>
        <w:t xml:space="preserve"> Croatia – </w:t>
      </w:r>
      <w:proofErr w:type="spellStart"/>
      <w:r w:rsidRPr="00553A9C">
        <w:rPr>
          <w:iCs/>
          <w:sz w:val="24"/>
          <w:szCs w:val="24"/>
        </w:rPr>
        <w:t>Bosnia</w:t>
      </w:r>
      <w:proofErr w:type="spellEnd"/>
      <w:r w:rsidRPr="00553A9C">
        <w:rPr>
          <w:iCs/>
          <w:sz w:val="24"/>
          <w:szCs w:val="24"/>
        </w:rPr>
        <w:t xml:space="preserve"> </w:t>
      </w:r>
      <w:proofErr w:type="spellStart"/>
      <w:r w:rsidRPr="00553A9C">
        <w:rPr>
          <w:iCs/>
          <w:sz w:val="24"/>
          <w:szCs w:val="24"/>
        </w:rPr>
        <w:t>and</w:t>
      </w:r>
      <w:proofErr w:type="spellEnd"/>
      <w:r w:rsidRPr="00553A9C">
        <w:rPr>
          <w:iCs/>
          <w:sz w:val="24"/>
          <w:szCs w:val="24"/>
        </w:rPr>
        <w:t xml:space="preserve"> </w:t>
      </w:r>
      <w:proofErr w:type="spellStart"/>
      <w:r w:rsidRPr="00553A9C">
        <w:rPr>
          <w:iCs/>
          <w:sz w:val="24"/>
          <w:szCs w:val="24"/>
        </w:rPr>
        <w:t>Herzegovina</w:t>
      </w:r>
      <w:proofErr w:type="spellEnd"/>
      <w:r w:rsidRPr="00553A9C">
        <w:rPr>
          <w:iCs/>
          <w:sz w:val="24"/>
          <w:szCs w:val="24"/>
        </w:rPr>
        <w:t xml:space="preserve"> – </w:t>
      </w:r>
      <w:proofErr w:type="spellStart"/>
      <w:r w:rsidRPr="00553A9C">
        <w:rPr>
          <w:iCs/>
          <w:sz w:val="24"/>
          <w:szCs w:val="24"/>
        </w:rPr>
        <w:t>Montenegro</w:t>
      </w:r>
      <w:proofErr w:type="spellEnd"/>
      <w:r w:rsidRPr="00553A9C">
        <w:rPr>
          <w:iCs/>
          <w:sz w:val="24"/>
          <w:szCs w:val="24"/>
        </w:rPr>
        <w:t xml:space="preserve"> 2021 – 2027</w:t>
      </w:r>
    </w:p>
    <w:p w14:paraId="451F44AA" w14:textId="77777777" w:rsidR="00036CDF" w:rsidRPr="00553A9C" w:rsidRDefault="00036CDF" w:rsidP="00036CDF">
      <w:pPr>
        <w:jc w:val="both"/>
        <w:rPr>
          <w:sz w:val="24"/>
          <w:szCs w:val="24"/>
        </w:rPr>
      </w:pPr>
      <w:r w:rsidRPr="00553A9C">
        <w:rPr>
          <w:iCs/>
          <w:sz w:val="24"/>
          <w:szCs w:val="24"/>
        </w:rPr>
        <w:t>Projekt je prijavljen 02.08.2023.</w:t>
      </w:r>
    </w:p>
    <w:p w14:paraId="5B9A13E2" w14:textId="77777777" w:rsidR="00036CDF" w:rsidRPr="00553A9C" w:rsidRDefault="00036CDF" w:rsidP="00036CDF">
      <w:pPr>
        <w:jc w:val="both"/>
        <w:rPr>
          <w:sz w:val="24"/>
          <w:szCs w:val="24"/>
        </w:rPr>
      </w:pPr>
      <w:r w:rsidRPr="00553A9C">
        <w:rPr>
          <w:iCs/>
          <w:sz w:val="24"/>
          <w:szCs w:val="24"/>
        </w:rPr>
        <w:t>Projekt je odobren 23.04.2024.</w:t>
      </w:r>
    </w:p>
    <w:p w14:paraId="40F9B50B" w14:textId="77777777" w:rsidR="00036CDF" w:rsidRPr="00553A9C" w:rsidRDefault="00036CDF" w:rsidP="00036CDF">
      <w:pPr>
        <w:jc w:val="both"/>
        <w:rPr>
          <w:sz w:val="24"/>
          <w:szCs w:val="24"/>
        </w:rPr>
      </w:pPr>
      <w:r w:rsidRPr="00553A9C">
        <w:rPr>
          <w:iCs/>
          <w:sz w:val="24"/>
          <w:szCs w:val="24"/>
        </w:rPr>
        <w:t>Ugovor je stupio na snagu 28.06.2024.</w:t>
      </w:r>
    </w:p>
    <w:p w14:paraId="46A34F12" w14:textId="77777777" w:rsidR="00036CDF" w:rsidRPr="00553A9C" w:rsidRDefault="00036CDF" w:rsidP="00036CDF">
      <w:pPr>
        <w:jc w:val="both"/>
        <w:rPr>
          <w:sz w:val="24"/>
          <w:szCs w:val="24"/>
        </w:rPr>
      </w:pPr>
      <w:r w:rsidRPr="00553A9C">
        <w:rPr>
          <w:iCs/>
          <w:sz w:val="24"/>
          <w:szCs w:val="24"/>
        </w:rPr>
        <w:t>Početak provedbe projekta je 01.07.2024. a završetak 30.06.2027.</w:t>
      </w:r>
    </w:p>
    <w:p w14:paraId="021D4AD9" w14:textId="77777777" w:rsidR="00036CDF" w:rsidRPr="00553A9C" w:rsidRDefault="00036CDF" w:rsidP="00036CDF">
      <w:pPr>
        <w:jc w:val="both"/>
        <w:rPr>
          <w:sz w:val="24"/>
          <w:szCs w:val="24"/>
        </w:rPr>
      </w:pPr>
      <w:r w:rsidRPr="00553A9C">
        <w:rPr>
          <w:iCs/>
          <w:sz w:val="24"/>
          <w:szCs w:val="24"/>
        </w:rPr>
        <w:t>Trajanje projekta je 3 godine (36 mjeseci)</w:t>
      </w:r>
    </w:p>
    <w:p w14:paraId="38CD0A20" w14:textId="77777777" w:rsidR="00036CDF" w:rsidRPr="00553A9C" w:rsidRDefault="00036CDF" w:rsidP="00036CDF">
      <w:pPr>
        <w:jc w:val="both"/>
        <w:rPr>
          <w:sz w:val="24"/>
          <w:szCs w:val="24"/>
        </w:rPr>
      </w:pPr>
      <w:r w:rsidRPr="00553A9C">
        <w:rPr>
          <w:iCs/>
          <w:sz w:val="24"/>
          <w:szCs w:val="24"/>
        </w:rPr>
        <w:t>Broj partnera na projektu: 3</w:t>
      </w:r>
    </w:p>
    <w:p w14:paraId="2D0A364F" w14:textId="77777777" w:rsidR="00036CDF" w:rsidRPr="00553A9C" w:rsidRDefault="00036CDF" w:rsidP="00036CDF">
      <w:pPr>
        <w:jc w:val="both"/>
        <w:rPr>
          <w:sz w:val="24"/>
          <w:szCs w:val="24"/>
        </w:rPr>
      </w:pPr>
      <w:r w:rsidRPr="00553A9C">
        <w:rPr>
          <w:iCs/>
          <w:sz w:val="24"/>
          <w:szCs w:val="24"/>
        </w:rPr>
        <w:t>1. Zavod za javno zdravstvo Zadar, Republika Hrvatska</w:t>
      </w:r>
    </w:p>
    <w:p w14:paraId="7BD24685" w14:textId="77777777" w:rsidR="00036CDF" w:rsidRPr="00553A9C" w:rsidRDefault="00036CDF" w:rsidP="00036CDF">
      <w:pPr>
        <w:jc w:val="both"/>
        <w:rPr>
          <w:sz w:val="24"/>
          <w:szCs w:val="24"/>
        </w:rPr>
      </w:pPr>
      <w:r w:rsidRPr="00553A9C">
        <w:rPr>
          <w:iCs/>
          <w:sz w:val="24"/>
          <w:szCs w:val="24"/>
        </w:rPr>
        <w:t>2. JNU Institut za zaštitu i ekologiju Republike Srpske, Banja Luka (Bosna i Hercegovina)</w:t>
      </w:r>
    </w:p>
    <w:p w14:paraId="4CE843A4" w14:textId="77777777" w:rsidR="00036CDF" w:rsidRPr="00553A9C" w:rsidRDefault="00036CDF" w:rsidP="00036CDF">
      <w:pPr>
        <w:jc w:val="both"/>
        <w:rPr>
          <w:sz w:val="24"/>
          <w:szCs w:val="24"/>
        </w:rPr>
      </w:pPr>
      <w:r w:rsidRPr="00553A9C">
        <w:rPr>
          <w:iCs/>
          <w:sz w:val="24"/>
          <w:szCs w:val="24"/>
        </w:rPr>
        <w:t>3. Agencija za zaštitu životne sredine Crne Gore (Crna Gora)</w:t>
      </w:r>
    </w:p>
    <w:p w14:paraId="0577D701" w14:textId="77777777" w:rsidR="00036CDF" w:rsidRDefault="00036CDF" w:rsidP="00036CDF">
      <w:pPr>
        <w:jc w:val="both"/>
        <w:rPr>
          <w:iCs/>
          <w:sz w:val="24"/>
          <w:szCs w:val="24"/>
        </w:rPr>
      </w:pPr>
      <w:r w:rsidRPr="00553A9C">
        <w:rPr>
          <w:iCs/>
          <w:sz w:val="24"/>
          <w:szCs w:val="24"/>
        </w:rPr>
        <w:t>Proračun projekta:</w:t>
      </w:r>
    </w:p>
    <w:tbl>
      <w:tblPr>
        <w:tblW w:w="9781" w:type="dxa"/>
        <w:tblCellSpacing w:w="15" w:type="dxa"/>
        <w:tblInd w:w="-709" w:type="dxa"/>
        <w:tblLook w:val="04A0" w:firstRow="1" w:lastRow="0" w:firstColumn="1" w:lastColumn="0" w:noHBand="0" w:noVBand="1"/>
      </w:tblPr>
      <w:tblGrid>
        <w:gridCol w:w="3261"/>
        <w:gridCol w:w="1701"/>
        <w:gridCol w:w="2551"/>
        <w:gridCol w:w="2268"/>
      </w:tblGrid>
      <w:tr w:rsidR="00036CDF" w:rsidRPr="00241832" w14:paraId="304630DD" w14:textId="77777777" w:rsidTr="00CF7709">
        <w:trPr>
          <w:tblCellSpacing w:w="15" w:type="dxa"/>
        </w:trPr>
        <w:tc>
          <w:tcPr>
            <w:tcW w:w="3216" w:type="dxa"/>
            <w:tcMar>
              <w:top w:w="15" w:type="dxa"/>
              <w:left w:w="15" w:type="dxa"/>
              <w:bottom w:w="15" w:type="dxa"/>
              <w:right w:w="15" w:type="dxa"/>
            </w:tcMar>
            <w:vAlign w:val="center"/>
            <w:hideMark/>
          </w:tcPr>
          <w:p w14:paraId="617FEE78" w14:textId="77777777" w:rsidR="00036CDF" w:rsidRPr="00241832" w:rsidRDefault="00036CDF" w:rsidP="00CF7709">
            <w:pPr>
              <w:rPr>
                <w:sz w:val="24"/>
                <w:szCs w:val="24"/>
                <w:lang w:eastAsia="hr-HR"/>
              </w:rPr>
            </w:pPr>
            <w:r w:rsidRPr="00241832">
              <w:rPr>
                <w:i/>
                <w:iCs/>
                <w:sz w:val="24"/>
                <w:szCs w:val="24"/>
                <w:lang w:eastAsia="hr-HR"/>
              </w:rPr>
              <w:t> </w:t>
            </w:r>
          </w:p>
        </w:tc>
        <w:tc>
          <w:tcPr>
            <w:tcW w:w="1671" w:type="dxa"/>
            <w:tcMar>
              <w:top w:w="15" w:type="dxa"/>
              <w:left w:w="15" w:type="dxa"/>
              <w:bottom w:w="15" w:type="dxa"/>
              <w:right w:w="15" w:type="dxa"/>
            </w:tcMar>
            <w:vAlign w:val="center"/>
            <w:hideMark/>
          </w:tcPr>
          <w:p w14:paraId="03EC58C6" w14:textId="77777777" w:rsidR="00036CDF" w:rsidRPr="00241832" w:rsidRDefault="00036CDF" w:rsidP="00CF7709">
            <w:pPr>
              <w:rPr>
                <w:sz w:val="24"/>
                <w:szCs w:val="24"/>
                <w:lang w:eastAsia="hr-HR"/>
              </w:rPr>
            </w:pPr>
            <w:r w:rsidRPr="00241832">
              <w:rPr>
                <w:i/>
                <w:iCs/>
                <w:sz w:val="24"/>
                <w:szCs w:val="24"/>
                <w:lang w:eastAsia="hr-HR"/>
              </w:rPr>
              <w:t>Ukupan iznos</w:t>
            </w:r>
          </w:p>
        </w:tc>
        <w:tc>
          <w:tcPr>
            <w:tcW w:w="2521" w:type="dxa"/>
            <w:tcMar>
              <w:top w:w="15" w:type="dxa"/>
              <w:left w:w="15" w:type="dxa"/>
              <w:bottom w:w="15" w:type="dxa"/>
              <w:right w:w="15" w:type="dxa"/>
            </w:tcMar>
            <w:vAlign w:val="center"/>
            <w:hideMark/>
          </w:tcPr>
          <w:p w14:paraId="1D165BFA" w14:textId="77777777" w:rsidR="00036CDF" w:rsidRPr="00241832" w:rsidRDefault="00036CDF" w:rsidP="00CF7709">
            <w:pPr>
              <w:rPr>
                <w:sz w:val="24"/>
                <w:szCs w:val="24"/>
                <w:lang w:eastAsia="hr-HR"/>
              </w:rPr>
            </w:pPr>
            <w:r w:rsidRPr="00241832">
              <w:rPr>
                <w:i/>
                <w:iCs/>
                <w:sz w:val="24"/>
                <w:szCs w:val="24"/>
                <w:lang w:eastAsia="hr-HR"/>
              </w:rPr>
              <w:t>Udio EU sufinanciranja</w:t>
            </w:r>
          </w:p>
        </w:tc>
        <w:tc>
          <w:tcPr>
            <w:tcW w:w="2223" w:type="dxa"/>
            <w:tcMar>
              <w:top w:w="15" w:type="dxa"/>
              <w:left w:w="15" w:type="dxa"/>
              <w:bottom w:w="15" w:type="dxa"/>
              <w:right w:w="15" w:type="dxa"/>
            </w:tcMar>
            <w:vAlign w:val="center"/>
            <w:hideMark/>
          </w:tcPr>
          <w:p w14:paraId="7DD35A90" w14:textId="77777777" w:rsidR="00036CDF" w:rsidRPr="00241832" w:rsidRDefault="00036CDF" w:rsidP="00CF7709">
            <w:pPr>
              <w:rPr>
                <w:sz w:val="24"/>
                <w:szCs w:val="24"/>
                <w:lang w:eastAsia="hr-HR"/>
              </w:rPr>
            </w:pPr>
            <w:r w:rsidRPr="00241832">
              <w:rPr>
                <w:i/>
                <w:iCs/>
                <w:sz w:val="24"/>
                <w:szCs w:val="24"/>
                <w:lang w:eastAsia="hr-HR"/>
              </w:rPr>
              <w:t>Udio vlastitog sufinanciranja</w:t>
            </w:r>
          </w:p>
        </w:tc>
      </w:tr>
      <w:tr w:rsidR="00036CDF" w:rsidRPr="00241832" w14:paraId="6DBC53FB" w14:textId="77777777" w:rsidTr="00CF7709">
        <w:trPr>
          <w:tblCellSpacing w:w="15" w:type="dxa"/>
        </w:trPr>
        <w:tc>
          <w:tcPr>
            <w:tcW w:w="3216" w:type="dxa"/>
            <w:tcMar>
              <w:top w:w="15" w:type="dxa"/>
              <w:left w:w="15" w:type="dxa"/>
              <w:bottom w:w="15" w:type="dxa"/>
              <w:right w:w="15" w:type="dxa"/>
            </w:tcMar>
            <w:vAlign w:val="center"/>
            <w:hideMark/>
          </w:tcPr>
          <w:p w14:paraId="0FCD4D27" w14:textId="77777777" w:rsidR="00036CDF" w:rsidRPr="00241832" w:rsidRDefault="00036CDF" w:rsidP="00CF7709">
            <w:pPr>
              <w:rPr>
                <w:sz w:val="24"/>
                <w:szCs w:val="24"/>
                <w:lang w:eastAsia="hr-HR"/>
              </w:rPr>
            </w:pPr>
            <w:r w:rsidRPr="00241832">
              <w:rPr>
                <w:i/>
                <w:iCs/>
                <w:sz w:val="24"/>
                <w:szCs w:val="24"/>
                <w:lang w:eastAsia="hr-HR"/>
              </w:rPr>
              <w:t>Zavod za javno zdravstvo Zadar</w:t>
            </w:r>
          </w:p>
        </w:tc>
        <w:tc>
          <w:tcPr>
            <w:tcW w:w="1671" w:type="dxa"/>
            <w:tcMar>
              <w:top w:w="15" w:type="dxa"/>
              <w:left w:w="15" w:type="dxa"/>
              <w:bottom w:w="15" w:type="dxa"/>
              <w:right w:w="15" w:type="dxa"/>
            </w:tcMar>
            <w:vAlign w:val="center"/>
            <w:hideMark/>
          </w:tcPr>
          <w:p w14:paraId="521593DA" w14:textId="77777777" w:rsidR="00036CDF" w:rsidRPr="00241832" w:rsidRDefault="00036CDF" w:rsidP="00CF7709">
            <w:pPr>
              <w:rPr>
                <w:sz w:val="24"/>
                <w:szCs w:val="24"/>
                <w:lang w:eastAsia="hr-HR"/>
              </w:rPr>
            </w:pPr>
            <w:r w:rsidRPr="00241832">
              <w:rPr>
                <w:i/>
                <w:iCs/>
                <w:sz w:val="24"/>
                <w:szCs w:val="24"/>
                <w:lang w:eastAsia="hr-HR"/>
              </w:rPr>
              <w:t>   362.532,00 €</w:t>
            </w:r>
          </w:p>
        </w:tc>
        <w:tc>
          <w:tcPr>
            <w:tcW w:w="2521" w:type="dxa"/>
            <w:tcMar>
              <w:top w:w="15" w:type="dxa"/>
              <w:left w:w="15" w:type="dxa"/>
              <w:bottom w:w="15" w:type="dxa"/>
              <w:right w:w="15" w:type="dxa"/>
            </w:tcMar>
            <w:vAlign w:val="center"/>
            <w:hideMark/>
          </w:tcPr>
          <w:p w14:paraId="20D6055D" w14:textId="77777777" w:rsidR="00036CDF" w:rsidRPr="00241832" w:rsidRDefault="00036CDF" w:rsidP="00CF7709">
            <w:pPr>
              <w:rPr>
                <w:sz w:val="24"/>
                <w:szCs w:val="24"/>
                <w:lang w:eastAsia="hr-HR"/>
              </w:rPr>
            </w:pPr>
            <w:r w:rsidRPr="00241832">
              <w:rPr>
                <w:i/>
                <w:iCs/>
                <w:sz w:val="24"/>
                <w:szCs w:val="24"/>
                <w:lang w:eastAsia="hr-HR"/>
              </w:rPr>
              <w:t>   308.152,20 €</w:t>
            </w:r>
          </w:p>
        </w:tc>
        <w:tc>
          <w:tcPr>
            <w:tcW w:w="2223" w:type="dxa"/>
            <w:tcMar>
              <w:top w:w="15" w:type="dxa"/>
              <w:left w:w="15" w:type="dxa"/>
              <w:bottom w:w="15" w:type="dxa"/>
              <w:right w:w="15" w:type="dxa"/>
            </w:tcMar>
            <w:vAlign w:val="center"/>
            <w:hideMark/>
          </w:tcPr>
          <w:p w14:paraId="4D987B3B" w14:textId="77777777" w:rsidR="00036CDF" w:rsidRPr="00241832" w:rsidRDefault="00036CDF" w:rsidP="00CF7709">
            <w:pPr>
              <w:rPr>
                <w:sz w:val="24"/>
                <w:szCs w:val="24"/>
                <w:lang w:eastAsia="hr-HR"/>
              </w:rPr>
            </w:pPr>
            <w:r w:rsidRPr="00241832">
              <w:rPr>
                <w:i/>
                <w:iCs/>
                <w:sz w:val="24"/>
                <w:szCs w:val="24"/>
                <w:lang w:eastAsia="hr-HR"/>
              </w:rPr>
              <w:t>      54.379,80 €</w:t>
            </w:r>
          </w:p>
        </w:tc>
      </w:tr>
      <w:tr w:rsidR="00036CDF" w:rsidRPr="00241832" w14:paraId="1464AB74" w14:textId="77777777" w:rsidTr="00CF7709">
        <w:trPr>
          <w:tblCellSpacing w:w="15" w:type="dxa"/>
        </w:trPr>
        <w:tc>
          <w:tcPr>
            <w:tcW w:w="3216" w:type="dxa"/>
            <w:tcMar>
              <w:top w:w="15" w:type="dxa"/>
              <w:left w:w="15" w:type="dxa"/>
              <w:bottom w:w="15" w:type="dxa"/>
              <w:right w:w="15" w:type="dxa"/>
            </w:tcMar>
            <w:vAlign w:val="center"/>
            <w:hideMark/>
          </w:tcPr>
          <w:p w14:paraId="6CEEC44F" w14:textId="77777777" w:rsidR="00036CDF" w:rsidRPr="00241832" w:rsidRDefault="00036CDF" w:rsidP="00CF7709">
            <w:pPr>
              <w:rPr>
                <w:sz w:val="24"/>
                <w:szCs w:val="24"/>
                <w:lang w:eastAsia="hr-HR"/>
              </w:rPr>
            </w:pPr>
            <w:r w:rsidRPr="00241832">
              <w:rPr>
                <w:i/>
                <w:iCs/>
                <w:sz w:val="24"/>
                <w:szCs w:val="24"/>
                <w:lang w:eastAsia="hr-HR"/>
              </w:rPr>
              <w:t>JNU Institut za zaštitu i ekologiju Republike Srpske, Banja Luka </w:t>
            </w:r>
          </w:p>
        </w:tc>
        <w:tc>
          <w:tcPr>
            <w:tcW w:w="1671" w:type="dxa"/>
            <w:tcMar>
              <w:top w:w="15" w:type="dxa"/>
              <w:left w:w="15" w:type="dxa"/>
              <w:bottom w:w="15" w:type="dxa"/>
              <w:right w:w="15" w:type="dxa"/>
            </w:tcMar>
            <w:vAlign w:val="center"/>
            <w:hideMark/>
          </w:tcPr>
          <w:p w14:paraId="1EEDFBEB" w14:textId="77777777" w:rsidR="00036CDF" w:rsidRPr="00241832" w:rsidRDefault="00036CDF" w:rsidP="00CF7709">
            <w:pPr>
              <w:rPr>
                <w:sz w:val="24"/>
                <w:szCs w:val="24"/>
                <w:lang w:eastAsia="hr-HR"/>
              </w:rPr>
            </w:pPr>
            <w:r w:rsidRPr="00241832">
              <w:rPr>
                <w:i/>
                <w:iCs/>
                <w:sz w:val="24"/>
                <w:szCs w:val="24"/>
                <w:lang w:eastAsia="hr-HR"/>
              </w:rPr>
              <w:t>   228.690,00 €</w:t>
            </w:r>
          </w:p>
        </w:tc>
        <w:tc>
          <w:tcPr>
            <w:tcW w:w="2521" w:type="dxa"/>
            <w:tcMar>
              <w:top w:w="15" w:type="dxa"/>
              <w:left w:w="15" w:type="dxa"/>
              <w:bottom w:w="15" w:type="dxa"/>
              <w:right w:w="15" w:type="dxa"/>
            </w:tcMar>
            <w:vAlign w:val="center"/>
            <w:hideMark/>
          </w:tcPr>
          <w:p w14:paraId="2AE62B88" w14:textId="77777777" w:rsidR="00036CDF" w:rsidRPr="00241832" w:rsidRDefault="00036CDF" w:rsidP="00CF7709">
            <w:pPr>
              <w:rPr>
                <w:sz w:val="24"/>
                <w:szCs w:val="24"/>
                <w:lang w:eastAsia="hr-HR"/>
              </w:rPr>
            </w:pPr>
            <w:r w:rsidRPr="00241832">
              <w:rPr>
                <w:i/>
                <w:iCs/>
                <w:sz w:val="24"/>
                <w:szCs w:val="24"/>
                <w:lang w:eastAsia="hr-HR"/>
              </w:rPr>
              <w:t>   194.386,50 €</w:t>
            </w:r>
          </w:p>
        </w:tc>
        <w:tc>
          <w:tcPr>
            <w:tcW w:w="2223" w:type="dxa"/>
            <w:tcMar>
              <w:top w:w="15" w:type="dxa"/>
              <w:left w:w="15" w:type="dxa"/>
              <w:bottom w:w="15" w:type="dxa"/>
              <w:right w:w="15" w:type="dxa"/>
            </w:tcMar>
            <w:vAlign w:val="center"/>
            <w:hideMark/>
          </w:tcPr>
          <w:p w14:paraId="5B20CCFB" w14:textId="77777777" w:rsidR="00036CDF" w:rsidRPr="00241832" w:rsidRDefault="00036CDF" w:rsidP="00CF7709">
            <w:pPr>
              <w:rPr>
                <w:sz w:val="24"/>
                <w:szCs w:val="24"/>
                <w:lang w:eastAsia="hr-HR"/>
              </w:rPr>
            </w:pPr>
            <w:r w:rsidRPr="00241832">
              <w:rPr>
                <w:i/>
                <w:iCs/>
                <w:sz w:val="24"/>
                <w:szCs w:val="24"/>
                <w:lang w:eastAsia="hr-HR"/>
              </w:rPr>
              <w:t>      34.303,50 €</w:t>
            </w:r>
          </w:p>
        </w:tc>
      </w:tr>
      <w:tr w:rsidR="00036CDF" w:rsidRPr="00241832" w14:paraId="2F04171A" w14:textId="77777777" w:rsidTr="00CF7709">
        <w:trPr>
          <w:tblCellSpacing w:w="15" w:type="dxa"/>
        </w:trPr>
        <w:tc>
          <w:tcPr>
            <w:tcW w:w="3216" w:type="dxa"/>
            <w:tcMar>
              <w:top w:w="15" w:type="dxa"/>
              <w:left w:w="15" w:type="dxa"/>
              <w:bottom w:w="15" w:type="dxa"/>
              <w:right w:w="15" w:type="dxa"/>
            </w:tcMar>
            <w:vAlign w:val="center"/>
            <w:hideMark/>
          </w:tcPr>
          <w:p w14:paraId="751234B0" w14:textId="77777777" w:rsidR="00036CDF" w:rsidRPr="00241832" w:rsidRDefault="00036CDF" w:rsidP="00CF7709">
            <w:pPr>
              <w:rPr>
                <w:sz w:val="24"/>
                <w:szCs w:val="24"/>
                <w:lang w:eastAsia="hr-HR"/>
              </w:rPr>
            </w:pPr>
            <w:r w:rsidRPr="00241832">
              <w:rPr>
                <w:i/>
                <w:iCs/>
                <w:sz w:val="24"/>
                <w:szCs w:val="24"/>
                <w:lang w:eastAsia="hr-HR"/>
              </w:rPr>
              <w:t>Agencija za zaštitu životne sredine Crne Gore </w:t>
            </w:r>
          </w:p>
        </w:tc>
        <w:tc>
          <w:tcPr>
            <w:tcW w:w="1671" w:type="dxa"/>
            <w:tcMar>
              <w:top w:w="15" w:type="dxa"/>
              <w:left w:w="15" w:type="dxa"/>
              <w:bottom w:w="15" w:type="dxa"/>
              <w:right w:w="15" w:type="dxa"/>
            </w:tcMar>
            <w:vAlign w:val="center"/>
            <w:hideMark/>
          </w:tcPr>
          <w:p w14:paraId="567C42F1" w14:textId="77777777" w:rsidR="00036CDF" w:rsidRPr="00241832" w:rsidRDefault="00036CDF" w:rsidP="00CF7709">
            <w:pPr>
              <w:rPr>
                <w:sz w:val="24"/>
                <w:szCs w:val="24"/>
                <w:lang w:eastAsia="hr-HR"/>
              </w:rPr>
            </w:pPr>
            <w:r w:rsidRPr="00241832">
              <w:rPr>
                <w:i/>
                <w:iCs/>
                <w:sz w:val="24"/>
                <w:szCs w:val="24"/>
                <w:lang w:eastAsia="hr-HR"/>
              </w:rPr>
              <w:t>   216.594,00 €</w:t>
            </w:r>
          </w:p>
        </w:tc>
        <w:tc>
          <w:tcPr>
            <w:tcW w:w="2521" w:type="dxa"/>
            <w:tcMar>
              <w:top w:w="15" w:type="dxa"/>
              <w:left w:w="15" w:type="dxa"/>
              <w:bottom w:w="15" w:type="dxa"/>
              <w:right w:w="15" w:type="dxa"/>
            </w:tcMar>
            <w:vAlign w:val="center"/>
            <w:hideMark/>
          </w:tcPr>
          <w:p w14:paraId="7820ECE4" w14:textId="77777777" w:rsidR="00036CDF" w:rsidRPr="00241832" w:rsidRDefault="00036CDF" w:rsidP="00CF7709">
            <w:pPr>
              <w:rPr>
                <w:sz w:val="24"/>
                <w:szCs w:val="24"/>
                <w:lang w:eastAsia="hr-HR"/>
              </w:rPr>
            </w:pPr>
            <w:r w:rsidRPr="00241832">
              <w:rPr>
                <w:i/>
                <w:iCs/>
                <w:sz w:val="24"/>
                <w:szCs w:val="24"/>
                <w:lang w:eastAsia="hr-HR"/>
              </w:rPr>
              <w:t>   184.104,90 €</w:t>
            </w:r>
          </w:p>
        </w:tc>
        <w:tc>
          <w:tcPr>
            <w:tcW w:w="2223" w:type="dxa"/>
            <w:tcMar>
              <w:top w:w="15" w:type="dxa"/>
              <w:left w:w="15" w:type="dxa"/>
              <w:bottom w:w="15" w:type="dxa"/>
              <w:right w:w="15" w:type="dxa"/>
            </w:tcMar>
            <w:vAlign w:val="center"/>
            <w:hideMark/>
          </w:tcPr>
          <w:p w14:paraId="222CE2C3" w14:textId="77777777" w:rsidR="00036CDF" w:rsidRPr="00241832" w:rsidRDefault="00036CDF" w:rsidP="00CF7709">
            <w:pPr>
              <w:rPr>
                <w:sz w:val="24"/>
                <w:szCs w:val="24"/>
                <w:lang w:eastAsia="hr-HR"/>
              </w:rPr>
            </w:pPr>
            <w:r w:rsidRPr="00241832">
              <w:rPr>
                <w:i/>
                <w:iCs/>
                <w:sz w:val="24"/>
                <w:szCs w:val="24"/>
                <w:lang w:eastAsia="hr-HR"/>
              </w:rPr>
              <w:t>      32.489,10 €</w:t>
            </w:r>
          </w:p>
        </w:tc>
      </w:tr>
      <w:tr w:rsidR="00036CDF" w:rsidRPr="00241832" w14:paraId="0E41EC0B" w14:textId="77777777" w:rsidTr="00CF7709">
        <w:trPr>
          <w:tblCellSpacing w:w="15" w:type="dxa"/>
        </w:trPr>
        <w:tc>
          <w:tcPr>
            <w:tcW w:w="3216" w:type="dxa"/>
            <w:tcMar>
              <w:top w:w="15" w:type="dxa"/>
              <w:left w:w="15" w:type="dxa"/>
              <w:bottom w:w="15" w:type="dxa"/>
              <w:right w:w="15" w:type="dxa"/>
            </w:tcMar>
            <w:vAlign w:val="center"/>
            <w:hideMark/>
          </w:tcPr>
          <w:p w14:paraId="4AF70621" w14:textId="77777777" w:rsidR="00036CDF" w:rsidRPr="00241832" w:rsidRDefault="00036CDF" w:rsidP="00CF7709">
            <w:pPr>
              <w:rPr>
                <w:sz w:val="24"/>
                <w:szCs w:val="24"/>
                <w:lang w:eastAsia="hr-HR"/>
              </w:rPr>
            </w:pPr>
            <w:r w:rsidRPr="00241832">
              <w:rPr>
                <w:i/>
                <w:iCs/>
                <w:sz w:val="24"/>
                <w:szCs w:val="24"/>
                <w:lang w:eastAsia="hr-HR"/>
              </w:rPr>
              <w:t>Ukupno</w:t>
            </w:r>
          </w:p>
        </w:tc>
        <w:tc>
          <w:tcPr>
            <w:tcW w:w="1671" w:type="dxa"/>
            <w:tcMar>
              <w:top w:w="15" w:type="dxa"/>
              <w:left w:w="15" w:type="dxa"/>
              <w:bottom w:w="15" w:type="dxa"/>
              <w:right w:w="15" w:type="dxa"/>
            </w:tcMar>
            <w:vAlign w:val="center"/>
            <w:hideMark/>
          </w:tcPr>
          <w:p w14:paraId="01B2F6FC" w14:textId="77777777" w:rsidR="00036CDF" w:rsidRPr="00241832" w:rsidRDefault="00036CDF" w:rsidP="00CF7709">
            <w:pPr>
              <w:rPr>
                <w:sz w:val="24"/>
                <w:szCs w:val="24"/>
                <w:lang w:eastAsia="hr-HR"/>
              </w:rPr>
            </w:pPr>
            <w:r w:rsidRPr="00241832">
              <w:rPr>
                <w:i/>
                <w:iCs/>
                <w:sz w:val="24"/>
                <w:szCs w:val="24"/>
                <w:lang w:eastAsia="hr-HR"/>
              </w:rPr>
              <w:t>807.816,00</w:t>
            </w:r>
          </w:p>
        </w:tc>
        <w:tc>
          <w:tcPr>
            <w:tcW w:w="2521" w:type="dxa"/>
            <w:tcMar>
              <w:top w:w="15" w:type="dxa"/>
              <w:left w:w="15" w:type="dxa"/>
              <w:bottom w:w="15" w:type="dxa"/>
              <w:right w:w="15" w:type="dxa"/>
            </w:tcMar>
            <w:vAlign w:val="center"/>
            <w:hideMark/>
          </w:tcPr>
          <w:p w14:paraId="49B9D09A" w14:textId="77777777" w:rsidR="00036CDF" w:rsidRPr="00241832" w:rsidRDefault="00036CDF" w:rsidP="00CF7709">
            <w:pPr>
              <w:rPr>
                <w:sz w:val="24"/>
                <w:szCs w:val="24"/>
                <w:lang w:eastAsia="hr-HR"/>
              </w:rPr>
            </w:pPr>
            <w:r w:rsidRPr="00241832">
              <w:rPr>
                <w:i/>
                <w:iCs/>
                <w:sz w:val="24"/>
                <w:szCs w:val="24"/>
                <w:lang w:eastAsia="hr-HR"/>
              </w:rPr>
              <w:t>   686.643,60 €</w:t>
            </w:r>
          </w:p>
        </w:tc>
        <w:tc>
          <w:tcPr>
            <w:tcW w:w="2223" w:type="dxa"/>
            <w:tcMar>
              <w:top w:w="15" w:type="dxa"/>
              <w:left w:w="15" w:type="dxa"/>
              <w:bottom w:w="15" w:type="dxa"/>
              <w:right w:w="15" w:type="dxa"/>
            </w:tcMar>
            <w:vAlign w:val="center"/>
            <w:hideMark/>
          </w:tcPr>
          <w:p w14:paraId="7884807B" w14:textId="77777777" w:rsidR="00036CDF" w:rsidRPr="00241832" w:rsidRDefault="00036CDF" w:rsidP="00CF7709">
            <w:pPr>
              <w:rPr>
                <w:sz w:val="24"/>
                <w:szCs w:val="24"/>
                <w:lang w:eastAsia="hr-HR"/>
              </w:rPr>
            </w:pPr>
            <w:r w:rsidRPr="00241832">
              <w:rPr>
                <w:i/>
                <w:iCs/>
                <w:sz w:val="24"/>
                <w:szCs w:val="24"/>
                <w:lang w:eastAsia="hr-HR"/>
              </w:rPr>
              <w:t>   121.172,40 €</w:t>
            </w:r>
          </w:p>
        </w:tc>
      </w:tr>
    </w:tbl>
    <w:p w14:paraId="00E2DC22" w14:textId="77777777" w:rsidR="00036CDF" w:rsidRPr="00B45795" w:rsidRDefault="00036CDF" w:rsidP="00036CDF">
      <w:pPr>
        <w:jc w:val="both"/>
        <w:rPr>
          <w:b/>
          <w:sz w:val="24"/>
          <w:szCs w:val="24"/>
        </w:rPr>
      </w:pPr>
      <w:r w:rsidRPr="00B45795">
        <w:rPr>
          <w:b/>
          <w:iCs/>
          <w:sz w:val="24"/>
          <w:szCs w:val="24"/>
        </w:rPr>
        <w:t>Kratki opis/ cilj projekta: </w:t>
      </w:r>
    </w:p>
    <w:p w14:paraId="1A23C039" w14:textId="77777777" w:rsidR="00036CDF" w:rsidRPr="00553A9C" w:rsidRDefault="00036CDF" w:rsidP="00036CDF">
      <w:pPr>
        <w:jc w:val="both"/>
        <w:rPr>
          <w:sz w:val="24"/>
          <w:szCs w:val="24"/>
        </w:rPr>
      </w:pPr>
      <w:r w:rsidRPr="00553A9C">
        <w:rPr>
          <w:iCs/>
          <w:sz w:val="24"/>
          <w:szCs w:val="24"/>
        </w:rPr>
        <w:t xml:space="preserve">Poboljšanje stanja okoliša u prekograničnom području Zadarske županije, Grada Banja Luke i Grada Podgorice, kroz uspostavu i proširenje monitoringa peludi i sprječavanje daljnjeg širenja </w:t>
      </w:r>
      <w:proofErr w:type="spellStart"/>
      <w:r w:rsidRPr="00553A9C">
        <w:rPr>
          <w:iCs/>
          <w:sz w:val="24"/>
          <w:szCs w:val="24"/>
        </w:rPr>
        <w:t>alergenih</w:t>
      </w:r>
      <w:proofErr w:type="spellEnd"/>
      <w:r w:rsidRPr="00553A9C">
        <w:rPr>
          <w:iCs/>
          <w:sz w:val="24"/>
          <w:szCs w:val="24"/>
        </w:rPr>
        <w:t xml:space="preserve"> biljaka, podizanje svijesti o širenju i utjecaju stranih invazivnih vrsta o </w:t>
      </w:r>
      <w:proofErr w:type="spellStart"/>
      <w:r w:rsidRPr="00553A9C">
        <w:rPr>
          <w:iCs/>
          <w:sz w:val="24"/>
          <w:szCs w:val="24"/>
        </w:rPr>
        <w:t>bioraznolikosti</w:t>
      </w:r>
      <w:proofErr w:type="spellEnd"/>
      <w:r w:rsidRPr="00553A9C">
        <w:rPr>
          <w:iCs/>
          <w:sz w:val="24"/>
          <w:szCs w:val="24"/>
        </w:rPr>
        <w:t>, poljoprivredi i zdravlju isporukom podataka o kvaliteti zraka građanima u stvarnom vremenu i stvaranjem zajedničkih rješenja/upravljanja podacima o praćenju zraka.</w:t>
      </w:r>
    </w:p>
    <w:p w14:paraId="5A23B854" w14:textId="77777777" w:rsidR="0073504B" w:rsidRDefault="0073504B" w:rsidP="00036CDF">
      <w:pPr>
        <w:jc w:val="both"/>
        <w:rPr>
          <w:b/>
          <w:sz w:val="24"/>
          <w:szCs w:val="24"/>
        </w:rPr>
      </w:pPr>
    </w:p>
    <w:p w14:paraId="2615DF02" w14:textId="77777777" w:rsidR="00036CDF" w:rsidRDefault="00036CDF" w:rsidP="00036CDF">
      <w:pPr>
        <w:jc w:val="both"/>
        <w:rPr>
          <w:b/>
          <w:sz w:val="24"/>
          <w:szCs w:val="24"/>
        </w:rPr>
      </w:pPr>
      <w:r w:rsidRPr="00B92E6C">
        <w:rPr>
          <w:b/>
          <w:sz w:val="24"/>
          <w:szCs w:val="24"/>
        </w:rPr>
        <w:t xml:space="preserve">Aktivnost T4303-18 – </w:t>
      </w:r>
      <w:proofErr w:type="spellStart"/>
      <w:r w:rsidRPr="00B92E6C">
        <w:rPr>
          <w:b/>
          <w:sz w:val="24"/>
          <w:szCs w:val="24"/>
        </w:rPr>
        <w:t>BeforeTime</w:t>
      </w:r>
      <w:proofErr w:type="spellEnd"/>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5"/>
        <w:gridCol w:w="1371"/>
        <w:gridCol w:w="1683"/>
        <w:gridCol w:w="1779"/>
        <w:gridCol w:w="1276"/>
        <w:gridCol w:w="1559"/>
      </w:tblGrid>
      <w:tr w:rsidR="006F2EFB" w:rsidRPr="001C1185" w14:paraId="15F1A09F" w14:textId="77777777" w:rsidTr="00CF7709">
        <w:trPr>
          <w:trHeight w:val="1154"/>
          <w:jc w:val="center"/>
        </w:trPr>
        <w:tc>
          <w:tcPr>
            <w:tcW w:w="1260" w:type="dxa"/>
            <w:shd w:val="clear" w:color="auto" w:fill="D9D9D9"/>
          </w:tcPr>
          <w:p w14:paraId="4F6AFC36" w14:textId="7D21992A" w:rsidR="006F2EFB" w:rsidRPr="00991B85" w:rsidRDefault="006F2EFB" w:rsidP="006F2EFB">
            <w:pPr>
              <w:jc w:val="both"/>
              <w:rPr>
                <w:b/>
              </w:rPr>
            </w:pPr>
            <w:r>
              <w:t>Djelatnost ustanove</w:t>
            </w:r>
            <w:r>
              <w:tab/>
            </w:r>
            <w:r>
              <w:rPr>
                <w:spacing w:val="-17"/>
              </w:rPr>
              <w:t xml:space="preserve">u </w:t>
            </w:r>
            <w:r>
              <w:t>zdravstvu</w:t>
            </w:r>
          </w:p>
        </w:tc>
        <w:tc>
          <w:tcPr>
            <w:tcW w:w="1415" w:type="dxa"/>
            <w:shd w:val="clear" w:color="auto" w:fill="D9D9D9"/>
          </w:tcPr>
          <w:p w14:paraId="565A7DE8" w14:textId="7FE41FDA" w:rsidR="006F2EFB" w:rsidRPr="00991B85" w:rsidRDefault="006F2EFB" w:rsidP="006F2EFB">
            <w:pPr>
              <w:jc w:val="both"/>
              <w:rPr>
                <w:b/>
              </w:rPr>
            </w:pPr>
            <w:r>
              <w:t>Izvršenje financijskog plana 01.01.2024.-30.06.2024.</w:t>
            </w:r>
          </w:p>
        </w:tc>
        <w:tc>
          <w:tcPr>
            <w:tcW w:w="1371" w:type="dxa"/>
            <w:shd w:val="clear" w:color="auto" w:fill="D9D9D9"/>
          </w:tcPr>
          <w:p w14:paraId="689D0266" w14:textId="397620F8" w:rsidR="006F2EFB" w:rsidRPr="00991B85" w:rsidRDefault="006F2EFB" w:rsidP="006F2EFB">
            <w:pPr>
              <w:jc w:val="both"/>
              <w:rPr>
                <w:b/>
              </w:rPr>
            </w:pPr>
            <w:r>
              <w:t>Financijski plan 2025. godine</w:t>
            </w:r>
          </w:p>
        </w:tc>
        <w:tc>
          <w:tcPr>
            <w:tcW w:w="1683" w:type="dxa"/>
            <w:shd w:val="clear" w:color="auto" w:fill="D9D9D9"/>
          </w:tcPr>
          <w:p w14:paraId="6A71EA14" w14:textId="1CFBD030" w:rsidR="006F2EFB" w:rsidRPr="00991B85" w:rsidRDefault="006F2EFB" w:rsidP="006F2EFB">
            <w:pPr>
              <w:jc w:val="both"/>
              <w:rPr>
                <w:b/>
              </w:rPr>
            </w:pPr>
            <w:r>
              <w:t>Financijski plana 2025. – 1. rebalans</w:t>
            </w:r>
          </w:p>
        </w:tc>
        <w:tc>
          <w:tcPr>
            <w:tcW w:w="1779" w:type="dxa"/>
            <w:shd w:val="clear" w:color="auto" w:fill="D9D9D9"/>
          </w:tcPr>
          <w:p w14:paraId="2F2DF81A" w14:textId="40FDB5DE" w:rsidR="006F2EFB" w:rsidRPr="00991B85" w:rsidRDefault="006F2EFB" w:rsidP="006F2EFB">
            <w:pPr>
              <w:jc w:val="both"/>
              <w:rPr>
                <w:b/>
              </w:rPr>
            </w:pPr>
            <w:r>
              <w:t>Izvršenje financijskog plana 01.01.2025. – 30.06.2025.</w:t>
            </w:r>
          </w:p>
        </w:tc>
        <w:tc>
          <w:tcPr>
            <w:tcW w:w="1276" w:type="dxa"/>
            <w:shd w:val="clear" w:color="auto" w:fill="D9D9D9"/>
          </w:tcPr>
          <w:p w14:paraId="1193DA6F" w14:textId="344B0E88" w:rsidR="006F2EFB" w:rsidRPr="00991B85" w:rsidRDefault="006F2EFB" w:rsidP="006F2EFB">
            <w:pPr>
              <w:jc w:val="both"/>
              <w:rPr>
                <w:b/>
              </w:rPr>
            </w:pPr>
            <w:r>
              <w:t>Izvršenje u odnosu na 2024.g.</w:t>
            </w:r>
          </w:p>
        </w:tc>
        <w:tc>
          <w:tcPr>
            <w:tcW w:w="1559" w:type="dxa"/>
            <w:shd w:val="clear" w:color="auto" w:fill="D9D9D9"/>
          </w:tcPr>
          <w:p w14:paraId="3E7945B5" w14:textId="77777777" w:rsidR="006F2EFB" w:rsidRDefault="006F2EFB" w:rsidP="006F2EFB">
            <w:r>
              <w:t xml:space="preserve">Izvršenje u odnosu na </w:t>
            </w:r>
            <w:proofErr w:type="spellStart"/>
            <w:r>
              <w:t>fin.plan</w:t>
            </w:r>
            <w:proofErr w:type="spellEnd"/>
            <w:r>
              <w:t xml:space="preserve"> za 2025.g. (1. rebalans)</w:t>
            </w:r>
          </w:p>
          <w:p w14:paraId="6CDDD998" w14:textId="77777777" w:rsidR="006F2EFB" w:rsidRPr="00991B85" w:rsidRDefault="006F2EFB" w:rsidP="006F2EFB">
            <w:pPr>
              <w:jc w:val="both"/>
              <w:rPr>
                <w:b/>
              </w:rPr>
            </w:pPr>
          </w:p>
        </w:tc>
      </w:tr>
      <w:tr w:rsidR="00036CDF" w:rsidRPr="001C1185" w14:paraId="5636F624" w14:textId="77777777" w:rsidTr="00CF7709">
        <w:trPr>
          <w:trHeight w:val="737"/>
          <w:jc w:val="center"/>
        </w:trPr>
        <w:tc>
          <w:tcPr>
            <w:tcW w:w="1260" w:type="dxa"/>
          </w:tcPr>
          <w:p w14:paraId="71ABA5BC" w14:textId="77777777" w:rsidR="00036CDF" w:rsidRPr="00991B85" w:rsidRDefault="00036CDF" w:rsidP="00CF7709">
            <w:pPr>
              <w:jc w:val="both"/>
              <w:rPr>
                <w:b/>
                <w:sz w:val="20"/>
                <w:szCs w:val="20"/>
              </w:rPr>
            </w:pPr>
            <w:r w:rsidRPr="00991B85">
              <w:rPr>
                <w:b/>
                <w:sz w:val="20"/>
                <w:szCs w:val="20"/>
              </w:rPr>
              <w:t>Šifra programa</w:t>
            </w:r>
          </w:p>
          <w:p w14:paraId="6102236B" w14:textId="77777777" w:rsidR="00036CDF" w:rsidRPr="00991B85" w:rsidRDefault="00036CDF" w:rsidP="00CF7709">
            <w:pPr>
              <w:jc w:val="both"/>
              <w:rPr>
                <w:b/>
                <w:sz w:val="20"/>
                <w:szCs w:val="20"/>
              </w:rPr>
            </w:pPr>
            <w:r w:rsidRPr="00991B85">
              <w:rPr>
                <w:b/>
                <w:sz w:val="20"/>
                <w:szCs w:val="20"/>
              </w:rPr>
              <w:t>T-4303-18</w:t>
            </w:r>
          </w:p>
        </w:tc>
        <w:tc>
          <w:tcPr>
            <w:tcW w:w="1415" w:type="dxa"/>
          </w:tcPr>
          <w:p w14:paraId="2A159F1B" w14:textId="77777777" w:rsidR="00036CDF" w:rsidRPr="00991B85" w:rsidRDefault="00036CDF" w:rsidP="00CF7709">
            <w:pPr>
              <w:jc w:val="both"/>
              <w:rPr>
                <w:sz w:val="20"/>
                <w:szCs w:val="20"/>
              </w:rPr>
            </w:pPr>
            <w:r w:rsidRPr="00991B85">
              <w:rPr>
                <w:sz w:val="20"/>
                <w:szCs w:val="20"/>
              </w:rPr>
              <w:t>0,00</w:t>
            </w:r>
          </w:p>
        </w:tc>
        <w:tc>
          <w:tcPr>
            <w:tcW w:w="1371" w:type="dxa"/>
          </w:tcPr>
          <w:p w14:paraId="1A85A37B" w14:textId="7CE0FFA4" w:rsidR="00036CDF" w:rsidRPr="00991B85" w:rsidRDefault="00705C9E" w:rsidP="00CF7709">
            <w:pPr>
              <w:jc w:val="both"/>
              <w:rPr>
                <w:sz w:val="20"/>
                <w:szCs w:val="20"/>
              </w:rPr>
            </w:pPr>
            <w:r>
              <w:rPr>
                <w:sz w:val="20"/>
                <w:szCs w:val="20"/>
              </w:rPr>
              <w:t>356.730,00</w:t>
            </w:r>
          </w:p>
        </w:tc>
        <w:tc>
          <w:tcPr>
            <w:tcW w:w="1683" w:type="dxa"/>
          </w:tcPr>
          <w:p w14:paraId="13DD62E7" w14:textId="5EBC349B" w:rsidR="00036CDF" w:rsidRPr="00991B85" w:rsidRDefault="00705C9E" w:rsidP="00CF7709">
            <w:pPr>
              <w:jc w:val="both"/>
              <w:rPr>
                <w:sz w:val="20"/>
                <w:szCs w:val="20"/>
              </w:rPr>
            </w:pPr>
            <w:r>
              <w:rPr>
                <w:sz w:val="20"/>
                <w:szCs w:val="20"/>
              </w:rPr>
              <w:t>361.551,67</w:t>
            </w:r>
          </w:p>
        </w:tc>
        <w:tc>
          <w:tcPr>
            <w:tcW w:w="1779" w:type="dxa"/>
          </w:tcPr>
          <w:p w14:paraId="2F27FAC1" w14:textId="753B0C3A" w:rsidR="00036CDF" w:rsidRPr="00991B85" w:rsidRDefault="00705C9E" w:rsidP="00CF7709">
            <w:pPr>
              <w:jc w:val="both"/>
              <w:rPr>
                <w:sz w:val="20"/>
                <w:szCs w:val="20"/>
              </w:rPr>
            </w:pPr>
            <w:r>
              <w:rPr>
                <w:sz w:val="20"/>
                <w:szCs w:val="20"/>
              </w:rPr>
              <w:t>184.816,37</w:t>
            </w:r>
          </w:p>
        </w:tc>
        <w:tc>
          <w:tcPr>
            <w:tcW w:w="1276" w:type="dxa"/>
          </w:tcPr>
          <w:p w14:paraId="2BCB98DA" w14:textId="7550F8D0" w:rsidR="00036CDF" w:rsidRPr="00991B85" w:rsidRDefault="00705C9E" w:rsidP="00CF7709">
            <w:pPr>
              <w:jc w:val="both"/>
              <w:rPr>
                <w:sz w:val="20"/>
                <w:szCs w:val="20"/>
              </w:rPr>
            </w:pPr>
            <w:r>
              <w:rPr>
                <w:sz w:val="20"/>
                <w:szCs w:val="20"/>
              </w:rPr>
              <w:t>0,00</w:t>
            </w:r>
          </w:p>
        </w:tc>
        <w:tc>
          <w:tcPr>
            <w:tcW w:w="1559" w:type="dxa"/>
          </w:tcPr>
          <w:p w14:paraId="3CB3BBC3" w14:textId="3E664B8F" w:rsidR="00036CDF" w:rsidRPr="00991B85" w:rsidRDefault="00705C9E" w:rsidP="00CF7709">
            <w:pPr>
              <w:jc w:val="both"/>
              <w:rPr>
                <w:sz w:val="20"/>
                <w:szCs w:val="20"/>
              </w:rPr>
            </w:pPr>
            <w:r>
              <w:rPr>
                <w:sz w:val="20"/>
                <w:szCs w:val="20"/>
              </w:rPr>
              <w:t>51,12</w:t>
            </w:r>
          </w:p>
        </w:tc>
      </w:tr>
    </w:tbl>
    <w:p w14:paraId="73B8A153" w14:textId="77777777" w:rsidR="00036CDF" w:rsidRDefault="00036CDF" w:rsidP="00036CDF">
      <w:pPr>
        <w:jc w:val="both"/>
        <w:rPr>
          <w:sz w:val="24"/>
          <w:szCs w:val="24"/>
        </w:rPr>
      </w:pPr>
      <w:r w:rsidRPr="00D34B1A">
        <w:rPr>
          <w:sz w:val="24"/>
          <w:szCs w:val="24"/>
        </w:rPr>
        <w:t xml:space="preserve">Projekt </w:t>
      </w:r>
      <w:proofErr w:type="spellStart"/>
      <w:r w:rsidRPr="00D34B1A">
        <w:rPr>
          <w:sz w:val="24"/>
          <w:szCs w:val="24"/>
        </w:rPr>
        <w:t>Befortime</w:t>
      </w:r>
      <w:proofErr w:type="spellEnd"/>
      <w:r w:rsidRPr="00D34B1A">
        <w:rPr>
          <w:sz w:val="24"/>
          <w:szCs w:val="24"/>
        </w:rPr>
        <w:t xml:space="preserve"> HR-BA-ME00194- </w:t>
      </w:r>
      <w:proofErr w:type="spellStart"/>
      <w:r w:rsidRPr="00D34B1A">
        <w:rPr>
          <w:sz w:val="24"/>
          <w:szCs w:val="24"/>
        </w:rPr>
        <w:t>Empowering</w:t>
      </w:r>
      <w:proofErr w:type="spellEnd"/>
      <w:r w:rsidRPr="00D34B1A">
        <w:rPr>
          <w:sz w:val="24"/>
          <w:szCs w:val="24"/>
        </w:rPr>
        <w:t xml:space="preserve"> </w:t>
      </w:r>
      <w:proofErr w:type="spellStart"/>
      <w:r w:rsidRPr="00D34B1A">
        <w:rPr>
          <w:sz w:val="24"/>
          <w:szCs w:val="24"/>
        </w:rPr>
        <w:t>Women</w:t>
      </w:r>
      <w:proofErr w:type="spellEnd"/>
      <w:r w:rsidRPr="00D34B1A">
        <w:rPr>
          <w:sz w:val="24"/>
          <w:szCs w:val="24"/>
        </w:rPr>
        <w:t xml:space="preserve"> </w:t>
      </w:r>
      <w:proofErr w:type="spellStart"/>
      <w:r w:rsidRPr="00D34B1A">
        <w:rPr>
          <w:sz w:val="24"/>
          <w:szCs w:val="24"/>
        </w:rPr>
        <w:t>and</w:t>
      </w:r>
      <w:proofErr w:type="spellEnd"/>
      <w:r w:rsidRPr="00D34B1A">
        <w:rPr>
          <w:sz w:val="24"/>
          <w:szCs w:val="24"/>
        </w:rPr>
        <w:t xml:space="preserve"> </w:t>
      </w:r>
      <w:proofErr w:type="spellStart"/>
      <w:r w:rsidRPr="00D34B1A">
        <w:rPr>
          <w:sz w:val="24"/>
          <w:szCs w:val="24"/>
        </w:rPr>
        <w:t>Communities</w:t>
      </w:r>
      <w:proofErr w:type="spellEnd"/>
      <w:r w:rsidRPr="00D34B1A">
        <w:rPr>
          <w:sz w:val="24"/>
          <w:szCs w:val="24"/>
        </w:rPr>
        <w:t xml:space="preserve"> for Protection </w:t>
      </w:r>
      <w:proofErr w:type="spellStart"/>
      <w:r w:rsidRPr="00D34B1A">
        <w:rPr>
          <w:sz w:val="24"/>
          <w:szCs w:val="24"/>
        </w:rPr>
        <w:t>Against</w:t>
      </w:r>
      <w:proofErr w:type="spellEnd"/>
      <w:r w:rsidRPr="00D34B1A">
        <w:rPr>
          <w:sz w:val="24"/>
          <w:szCs w:val="24"/>
        </w:rPr>
        <w:t xml:space="preserve"> </w:t>
      </w:r>
      <w:proofErr w:type="spellStart"/>
      <w:r w:rsidRPr="00D34B1A">
        <w:rPr>
          <w:sz w:val="24"/>
          <w:szCs w:val="24"/>
        </w:rPr>
        <w:t>Cervical</w:t>
      </w:r>
      <w:proofErr w:type="spellEnd"/>
      <w:r w:rsidRPr="00D34B1A">
        <w:rPr>
          <w:sz w:val="24"/>
          <w:szCs w:val="24"/>
        </w:rPr>
        <w:t xml:space="preserve"> </w:t>
      </w:r>
      <w:proofErr w:type="spellStart"/>
      <w:r w:rsidRPr="00D34B1A">
        <w:rPr>
          <w:sz w:val="24"/>
          <w:szCs w:val="24"/>
        </w:rPr>
        <w:t>Cancer</w:t>
      </w:r>
      <w:proofErr w:type="spellEnd"/>
      <w:r w:rsidRPr="00D34B1A">
        <w:rPr>
          <w:sz w:val="24"/>
          <w:szCs w:val="24"/>
        </w:rPr>
        <w:t xml:space="preserve"> (Osnaživanje žena i zajednice za zaštitu od raka vrata maternice) </w:t>
      </w:r>
      <w:r w:rsidRPr="00D34B1A">
        <w:rPr>
          <w:sz w:val="24"/>
          <w:szCs w:val="24"/>
        </w:rPr>
        <w:lastRenderedPageBreak/>
        <w:t xml:space="preserve">odobren je za sufinancira iz programa </w:t>
      </w:r>
      <w:proofErr w:type="spellStart"/>
      <w:r w:rsidRPr="00D34B1A">
        <w:rPr>
          <w:sz w:val="24"/>
          <w:szCs w:val="24"/>
        </w:rPr>
        <w:t>Interreg</w:t>
      </w:r>
      <w:proofErr w:type="spellEnd"/>
      <w:r w:rsidRPr="00D34B1A">
        <w:rPr>
          <w:sz w:val="24"/>
          <w:szCs w:val="24"/>
        </w:rPr>
        <w:t xml:space="preserve"> VI-A IPA Croatia-</w:t>
      </w:r>
      <w:proofErr w:type="spellStart"/>
      <w:r w:rsidRPr="00D34B1A">
        <w:rPr>
          <w:sz w:val="24"/>
          <w:szCs w:val="24"/>
        </w:rPr>
        <w:t>Bosnia</w:t>
      </w:r>
      <w:proofErr w:type="spellEnd"/>
      <w:r w:rsidRPr="00D34B1A">
        <w:rPr>
          <w:sz w:val="24"/>
          <w:szCs w:val="24"/>
        </w:rPr>
        <w:t xml:space="preserve"> </w:t>
      </w:r>
      <w:proofErr w:type="spellStart"/>
      <w:r w:rsidRPr="00D34B1A">
        <w:rPr>
          <w:sz w:val="24"/>
          <w:szCs w:val="24"/>
        </w:rPr>
        <w:t>and</w:t>
      </w:r>
      <w:proofErr w:type="spellEnd"/>
      <w:r w:rsidRPr="00D34B1A">
        <w:rPr>
          <w:sz w:val="24"/>
          <w:szCs w:val="24"/>
        </w:rPr>
        <w:t xml:space="preserve"> </w:t>
      </w:r>
      <w:proofErr w:type="spellStart"/>
      <w:r w:rsidRPr="00D34B1A">
        <w:rPr>
          <w:sz w:val="24"/>
          <w:szCs w:val="24"/>
        </w:rPr>
        <w:t>Herzegovina-Montenegro</w:t>
      </w:r>
      <w:proofErr w:type="spellEnd"/>
      <w:r w:rsidRPr="00D34B1A">
        <w:rPr>
          <w:sz w:val="24"/>
          <w:szCs w:val="24"/>
        </w:rPr>
        <w:t>. Glavni cilj projekta je jačanje prevencije i ranog otkrivanja raka vrata maternice kroz informiranje, edukaciju i motiviranje žena da se odazovu na pregled.</w:t>
      </w:r>
    </w:p>
    <w:p w14:paraId="0D11F4C7" w14:textId="77777777" w:rsidR="00036CDF" w:rsidRDefault="00036CDF" w:rsidP="00036CDF">
      <w:pPr>
        <w:jc w:val="both"/>
        <w:rPr>
          <w:sz w:val="24"/>
          <w:szCs w:val="24"/>
        </w:rPr>
      </w:pPr>
    </w:p>
    <w:p w14:paraId="0455CA17" w14:textId="77777777" w:rsidR="0073504B" w:rsidRDefault="00705C9E" w:rsidP="00705C9E">
      <w:pPr>
        <w:jc w:val="both"/>
        <w:rPr>
          <w:sz w:val="24"/>
          <w:szCs w:val="24"/>
        </w:rPr>
      </w:pPr>
      <w:r w:rsidRPr="00705C9E">
        <w:rPr>
          <w:sz w:val="24"/>
          <w:szCs w:val="24"/>
        </w:rPr>
        <w:t>Početak provedbe projekta je 01.0</w:t>
      </w:r>
      <w:r>
        <w:rPr>
          <w:sz w:val="24"/>
          <w:szCs w:val="24"/>
        </w:rPr>
        <w:t>9</w:t>
      </w:r>
      <w:r w:rsidRPr="00705C9E">
        <w:rPr>
          <w:sz w:val="24"/>
          <w:szCs w:val="24"/>
        </w:rPr>
        <w:t>.2024.g. zbog čega je izvršenje u izvještajnom razdoblju u 2024.g bilo 0,00 eura.</w:t>
      </w:r>
      <w:r w:rsidR="0073504B">
        <w:rPr>
          <w:sz w:val="24"/>
          <w:szCs w:val="24"/>
        </w:rPr>
        <w:t xml:space="preserve"> </w:t>
      </w:r>
      <w:r w:rsidRPr="00705C9E">
        <w:rPr>
          <w:sz w:val="24"/>
          <w:szCs w:val="24"/>
        </w:rPr>
        <w:t>Izvršenje u prvih 6 mjeseci 2025.g. je u ovisnosti o aktivnostima svih partnera na projektu, te prijavljenim troškovima i njihovim certificiranjem, te provedenim postupcima nabave svakog od partnera na ovom projektu</w:t>
      </w:r>
    </w:p>
    <w:p w14:paraId="499B4153" w14:textId="77777777" w:rsidR="0073504B" w:rsidRDefault="0073504B" w:rsidP="00705C9E">
      <w:pPr>
        <w:jc w:val="both"/>
        <w:rPr>
          <w:sz w:val="24"/>
          <w:szCs w:val="24"/>
        </w:rPr>
      </w:pPr>
    </w:p>
    <w:p w14:paraId="5849CB3D" w14:textId="6A368BBA" w:rsidR="00036CDF" w:rsidRPr="00D34B1A" w:rsidRDefault="00036CDF" w:rsidP="00705C9E">
      <w:pPr>
        <w:jc w:val="both"/>
        <w:rPr>
          <w:sz w:val="24"/>
          <w:szCs w:val="24"/>
        </w:rPr>
      </w:pPr>
      <w:r w:rsidRPr="00D34B1A">
        <w:rPr>
          <w:sz w:val="24"/>
          <w:szCs w:val="24"/>
        </w:rPr>
        <w:t>Nositelj projekta je Zavod za javno zdravstvo Zadar, uz sudjelovanje šest partnera:</w:t>
      </w:r>
    </w:p>
    <w:p w14:paraId="2206CE3C" w14:textId="77777777" w:rsidR="00036CDF" w:rsidRPr="00D34B1A" w:rsidRDefault="00036CDF" w:rsidP="00036CDF">
      <w:pPr>
        <w:jc w:val="both"/>
        <w:rPr>
          <w:sz w:val="24"/>
          <w:szCs w:val="24"/>
        </w:rPr>
      </w:pPr>
      <w:r>
        <w:rPr>
          <w:sz w:val="24"/>
          <w:szCs w:val="24"/>
        </w:rPr>
        <w:t xml:space="preserve">1. </w:t>
      </w:r>
      <w:r w:rsidRPr="00D34B1A">
        <w:rPr>
          <w:sz w:val="24"/>
          <w:szCs w:val="24"/>
        </w:rPr>
        <w:t>Institut za javno zdravlje Crne Gore</w:t>
      </w:r>
    </w:p>
    <w:p w14:paraId="7A229CEC" w14:textId="77777777" w:rsidR="00036CDF" w:rsidRPr="00D34B1A" w:rsidRDefault="00036CDF" w:rsidP="00036CDF">
      <w:pPr>
        <w:jc w:val="both"/>
        <w:rPr>
          <w:sz w:val="24"/>
          <w:szCs w:val="24"/>
        </w:rPr>
      </w:pPr>
      <w:r>
        <w:rPr>
          <w:sz w:val="24"/>
          <w:szCs w:val="24"/>
        </w:rPr>
        <w:t xml:space="preserve">2. </w:t>
      </w:r>
      <w:r w:rsidRPr="00D34B1A">
        <w:rPr>
          <w:sz w:val="24"/>
          <w:szCs w:val="24"/>
        </w:rPr>
        <w:t>Dom zdravlja Mostar (BiH)</w:t>
      </w:r>
    </w:p>
    <w:p w14:paraId="1CEB14BB" w14:textId="77777777" w:rsidR="00036CDF" w:rsidRPr="00D34B1A" w:rsidRDefault="00036CDF" w:rsidP="00036CDF">
      <w:pPr>
        <w:jc w:val="both"/>
        <w:rPr>
          <w:sz w:val="24"/>
          <w:szCs w:val="24"/>
        </w:rPr>
      </w:pPr>
      <w:r>
        <w:rPr>
          <w:sz w:val="24"/>
          <w:szCs w:val="24"/>
        </w:rPr>
        <w:t xml:space="preserve">3. </w:t>
      </w:r>
      <w:r w:rsidRPr="00D34B1A">
        <w:rPr>
          <w:sz w:val="24"/>
          <w:szCs w:val="24"/>
        </w:rPr>
        <w:t xml:space="preserve">Zdravstvena ustanova Dom zdravlja </w:t>
      </w:r>
      <w:proofErr w:type="spellStart"/>
      <w:r w:rsidRPr="00D34B1A">
        <w:rPr>
          <w:sz w:val="24"/>
          <w:szCs w:val="24"/>
        </w:rPr>
        <w:t>Tivat</w:t>
      </w:r>
      <w:proofErr w:type="spellEnd"/>
      <w:r w:rsidRPr="00D34B1A">
        <w:rPr>
          <w:sz w:val="24"/>
          <w:szCs w:val="24"/>
        </w:rPr>
        <w:t xml:space="preserve"> (Crna Gora)</w:t>
      </w:r>
    </w:p>
    <w:p w14:paraId="0186FB51" w14:textId="77777777" w:rsidR="00036CDF" w:rsidRPr="00D34B1A" w:rsidRDefault="00036CDF" w:rsidP="00036CDF">
      <w:pPr>
        <w:jc w:val="both"/>
        <w:rPr>
          <w:sz w:val="24"/>
          <w:szCs w:val="24"/>
        </w:rPr>
      </w:pPr>
      <w:r>
        <w:rPr>
          <w:sz w:val="24"/>
          <w:szCs w:val="24"/>
        </w:rPr>
        <w:t xml:space="preserve">4. </w:t>
      </w:r>
      <w:r w:rsidRPr="00D34B1A">
        <w:rPr>
          <w:sz w:val="24"/>
          <w:szCs w:val="24"/>
        </w:rPr>
        <w:t>Institut perspektiva ekonomije Mediterana</w:t>
      </w:r>
    </w:p>
    <w:p w14:paraId="3263FA70" w14:textId="77777777" w:rsidR="00036CDF" w:rsidRPr="00D34B1A" w:rsidRDefault="00036CDF" w:rsidP="00036CDF">
      <w:pPr>
        <w:jc w:val="both"/>
        <w:rPr>
          <w:sz w:val="24"/>
          <w:szCs w:val="24"/>
        </w:rPr>
      </w:pPr>
      <w:r>
        <w:rPr>
          <w:sz w:val="24"/>
          <w:szCs w:val="24"/>
        </w:rPr>
        <w:t xml:space="preserve">5. </w:t>
      </w:r>
      <w:r w:rsidRPr="00D34B1A">
        <w:rPr>
          <w:sz w:val="24"/>
          <w:szCs w:val="24"/>
        </w:rPr>
        <w:t>Hrvatski zavod za javno zdravstvo</w:t>
      </w:r>
    </w:p>
    <w:p w14:paraId="408B7461" w14:textId="77777777" w:rsidR="00036CDF" w:rsidRPr="00D34B1A" w:rsidRDefault="00036CDF" w:rsidP="00036CDF">
      <w:pPr>
        <w:jc w:val="both"/>
        <w:rPr>
          <w:sz w:val="24"/>
          <w:szCs w:val="24"/>
        </w:rPr>
      </w:pPr>
      <w:r w:rsidRPr="00D34B1A">
        <w:rPr>
          <w:sz w:val="24"/>
          <w:szCs w:val="24"/>
        </w:rPr>
        <w:t>Ukupna vrijednost projekta iznosi 1.234.582,20 €, uz stopu sufinanciranja od 85% bespovratnim sredstvima, dok će preostalih 15% biti osigurano iz vlastitih sredstava sudionika. Zavod za javno zdravstvo Zadar ima ukupni proračun od 344.068,80 €, od čega 85% sufinanciranja iznosi 292.458,48 €.</w:t>
      </w:r>
    </w:p>
    <w:p w14:paraId="40FC7C7A" w14:textId="7D4BA5C7" w:rsidR="00036CDF" w:rsidRPr="00D34B1A" w:rsidRDefault="00036CDF" w:rsidP="00036CDF">
      <w:pPr>
        <w:jc w:val="both"/>
        <w:rPr>
          <w:sz w:val="24"/>
          <w:szCs w:val="24"/>
        </w:rPr>
      </w:pPr>
      <w:r w:rsidRPr="00D34B1A">
        <w:rPr>
          <w:sz w:val="24"/>
          <w:szCs w:val="24"/>
        </w:rPr>
        <w:t xml:space="preserve">Projekt </w:t>
      </w:r>
      <w:r w:rsidR="0073504B">
        <w:rPr>
          <w:sz w:val="24"/>
          <w:szCs w:val="24"/>
        </w:rPr>
        <w:t>je započeo</w:t>
      </w:r>
      <w:r w:rsidRPr="00D34B1A">
        <w:rPr>
          <w:sz w:val="24"/>
          <w:szCs w:val="24"/>
        </w:rPr>
        <w:t xml:space="preserve"> 1. rujna 2024. godine i trajat će 30 mjeseci, do 1. ožujka 2027. godine.</w:t>
      </w:r>
    </w:p>
    <w:p w14:paraId="31401E33" w14:textId="77777777" w:rsidR="00036CDF" w:rsidRPr="00D34B1A" w:rsidRDefault="00036CDF" w:rsidP="00036CDF">
      <w:pPr>
        <w:jc w:val="both"/>
        <w:rPr>
          <w:sz w:val="24"/>
          <w:szCs w:val="24"/>
        </w:rPr>
      </w:pPr>
      <w:r w:rsidRPr="00D34B1A">
        <w:rPr>
          <w:sz w:val="24"/>
          <w:szCs w:val="24"/>
        </w:rPr>
        <w:t xml:space="preserve">Glavni cilj projekta je povećanje prevencije i ranog otkrivanja raka vrata maternice, uz informiranje žena o važnosti preventivnih pregleda i poticanje na sudjelovanje u njima. Projekt će se usredotočiti na HPV cijepljenje, edukaciju i probir raka vrata maternice, odnosno metodu sprečavanja raka otkrivanjem i liječenjem ranih abnormalnosti koje, ako se ne liječe, mogu dovesti do pojave raka na vratu maternice. </w:t>
      </w:r>
    </w:p>
    <w:p w14:paraId="03D3681E" w14:textId="77777777" w:rsidR="00036CDF" w:rsidRPr="00D34B1A" w:rsidRDefault="00036CDF" w:rsidP="00036CDF">
      <w:pPr>
        <w:jc w:val="both"/>
        <w:rPr>
          <w:sz w:val="24"/>
          <w:szCs w:val="24"/>
        </w:rPr>
      </w:pPr>
      <w:r w:rsidRPr="00D34B1A">
        <w:rPr>
          <w:sz w:val="24"/>
          <w:szCs w:val="24"/>
        </w:rPr>
        <w:t>Glavni ishodi projekta su:</w:t>
      </w:r>
    </w:p>
    <w:p w14:paraId="604DF55A" w14:textId="77777777" w:rsidR="00036CDF" w:rsidRPr="00D34B1A" w:rsidRDefault="00036CDF" w:rsidP="00036CDF">
      <w:pPr>
        <w:jc w:val="both"/>
        <w:rPr>
          <w:sz w:val="24"/>
          <w:szCs w:val="24"/>
        </w:rPr>
      </w:pPr>
      <w:r>
        <w:rPr>
          <w:sz w:val="24"/>
          <w:szCs w:val="24"/>
        </w:rPr>
        <w:tab/>
        <w:t xml:space="preserve">• </w:t>
      </w:r>
      <w:r w:rsidRPr="00D34B1A">
        <w:rPr>
          <w:sz w:val="24"/>
          <w:szCs w:val="24"/>
        </w:rPr>
        <w:t>Razvoj protokola za provođenje pilot projekta</w:t>
      </w:r>
    </w:p>
    <w:p w14:paraId="29CA6F37" w14:textId="77777777" w:rsidR="00036CDF" w:rsidRPr="00D34B1A" w:rsidRDefault="00036CDF" w:rsidP="00036CDF">
      <w:pPr>
        <w:jc w:val="both"/>
        <w:rPr>
          <w:sz w:val="24"/>
          <w:szCs w:val="24"/>
        </w:rPr>
      </w:pPr>
      <w:r>
        <w:rPr>
          <w:sz w:val="24"/>
          <w:szCs w:val="24"/>
        </w:rPr>
        <w:tab/>
      </w:r>
      <w:r w:rsidRPr="00D34B1A">
        <w:rPr>
          <w:sz w:val="24"/>
          <w:szCs w:val="24"/>
        </w:rPr>
        <w:t>•</w:t>
      </w:r>
      <w:r>
        <w:rPr>
          <w:sz w:val="24"/>
          <w:szCs w:val="24"/>
        </w:rPr>
        <w:t xml:space="preserve"> </w:t>
      </w:r>
      <w:r w:rsidRPr="00D34B1A">
        <w:rPr>
          <w:sz w:val="24"/>
          <w:szCs w:val="24"/>
        </w:rPr>
        <w:t xml:space="preserve">Implementacija pilot projekata za </w:t>
      </w:r>
      <w:proofErr w:type="spellStart"/>
      <w:r w:rsidRPr="00D34B1A">
        <w:rPr>
          <w:sz w:val="24"/>
          <w:szCs w:val="24"/>
        </w:rPr>
        <w:t>samouzorkovanje</w:t>
      </w:r>
      <w:proofErr w:type="spellEnd"/>
      <w:r w:rsidRPr="00D34B1A">
        <w:rPr>
          <w:sz w:val="24"/>
          <w:szCs w:val="24"/>
        </w:rPr>
        <w:t xml:space="preserve"> i probir vrata maternice</w:t>
      </w:r>
    </w:p>
    <w:p w14:paraId="56194B93" w14:textId="77777777" w:rsidR="00036CDF" w:rsidRPr="00D34B1A" w:rsidRDefault="00036CDF" w:rsidP="00036CDF">
      <w:pPr>
        <w:jc w:val="both"/>
        <w:rPr>
          <w:sz w:val="24"/>
          <w:szCs w:val="24"/>
        </w:rPr>
      </w:pPr>
      <w:r>
        <w:rPr>
          <w:sz w:val="24"/>
          <w:szCs w:val="24"/>
        </w:rPr>
        <w:tab/>
      </w:r>
      <w:r w:rsidRPr="00D34B1A">
        <w:rPr>
          <w:sz w:val="24"/>
          <w:szCs w:val="24"/>
        </w:rPr>
        <w:t>•</w:t>
      </w:r>
      <w:r>
        <w:rPr>
          <w:sz w:val="24"/>
          <w:szCs w:val="24"/>
        </w:rPr>
        <w:t xml:space="preserve"> </w:t>
      </w:r>
      <w:r w:rsidRPr="00D34B1A">
        <w:rPr>
          <w:sz w:val="24"/>
          <w:szCs w:val="24"/>
        </w:rPr>
        <w:t xml:space="preserve">Provedba edukativnih programa, kampanja i izgradnja kapaciteta stručnjaka kroz </w:t>
      </w:r>
      <w:r>
        <w:rPr>
          <w:sz w:val="24"/>
          <w:szCs w:val="24"/>
        </w:rPr>
        <w:tab/>
      </w:r>
      <w:r w:rsidRPr="00D34B1A">
        <w:rPr>
          <w:sz w:val="24"/>
          <w:szCs w:val="24"/>
        </w:rPr>
        <w:t>zagovaranje tranzicije od institucionalnih do usluga u obitelji i zajednici</w:t>
      </w:r>
    </w:p>
    <w:p w14:paraId="237521E4" w14:textId="77777777" w:rsidR="00036CDF" w:rsidRPr="00D34B1A" w:rsidRDefault="00036CDF" w:rsidP="00036CDF">
      <w:pPr>
        <w:jc w:val="both"/>
        <w:rPr>
          <w:sz w:val="24"/>
          <w:szCs w:val="24"/>
        </w:rPr>
      </w:pPr>
      <w:r w:rsidRPr="00D34B1A">
        <w:rPr>
          <w:sz w:val="24"/>
          <w:szCs w:val="24"/>
        </w:rPr>
        <w:t>Projekt će se posebno posvetiti obuci zdravstvenih djelatnika i stručnjaka na području promicanja zdravlja te primarne i sekundarne prevencije:</w:t>
      </w:r>
    </w:p>
    <w:p w14:paraId="5FA1F959" w14:textId="77777777" w:rsidR="00036CDF" w:rsidRPr="00D34B1A" w:rsidRDefault="00036CDF" w:rsidP="00036CDF">
      <w:pPr>
        <w:jc w:val="both"/>
        <w:rPr>
          <w:sz w:val="24"/>
          <w:szCs w:val="24"/>
        </w:rPr>
      </w:pPr>
      <w:r>
        <w:rPr>
          <w:sz w:val="24"/>
          <w:szCs w:val="24"/>
        </w:rPr>
        <w:tab/>
        <w:t xml:space="preserve">• </w:t>
      </w:r>
      <w:r w:rsidRPr="00D34B1A">
        <w:rPr>
          <w:sz w:val="24"/>
          <w:szCs w:val="24"/>
        </w:rPr>
        <w:t xml:space="preserve">Primarna prevencija fokusirat će se na tinejdžere, adolescente, njihove roditelje i mlade </w:t>
      </w:r>
      <w:r>
        <w:rPr>
          <w:sz w:val="24"/>
          <w:szCs w:val="24"/>
        </w:rPr>
        <w:tab/>
      </w:r>
      <w:r w:rsidRPr="00D34B1A">
        <w:rPr>
          <w:sz w:val="24"/>
          <w:szCs w:val="24"/>
        </w:rPr>
        <w:t>do 25 godina, kroz kampanje o HPV cijepljenju i promicanju zdravlja.</w:t>
      </w:r>
    </w:p>
    <w:p w14:paraId="63E7BD25" w14:textId="77777777" w:rsidR="00036CDF" w:rsidRPr="00D34B1A" w:rsidRDefault="00036CDF" w:rsidP="00036CDF">
      <w:pPr>
        <w:jc w:val="both"/>
        <w:rPr>
          <w:sz w:val="24"/>
          <w:szCs w:val="24"/>
        </w:rPr>
      </w:pPr>
      <w:r>
        <w:rPr>
          <w:sz w:val="24"/>
          <w:szCs w:val="24"/>
        </w:rPr>
        <w:tab/>
        <w:t xml:space="preserve">• </w:t>
      </w:r>
      <w:r w:rsidRPr="00D34B1A">
        <w:rPr>
          <w:sz w:val="24"/>
          <w:szCs w:val="24"/>
        </w:rPr>
        <w:t xml:space="preserve">Sekundarna prevencija bit će usmjerena na žene u dobi od 30-64 godina kroz probir i </w:t>
      </w:r>
      <w:r>
        <w:rPr>
          <w:sz w:val="24"/>
          <w:szCs w:val="24"/>
        </w:rPr>
        <w:tab/>
      </w:r>
      <w:r w:rsidRPr="00D34B1A">
        <w:rPr>
          <w:sz w:val="24"/>
          <w:szCs w:val="24"/>
        </w:rPr>
        <w:t xml:space="preserve">rano otkrivanje </w:t>
      </w:r>
      <w:proofErr w:type="spellStart"/>
      <w:r w:rsidRPr="00D34B1A">
        <w:rPr>
          <w:sz w:val="24"/>
          <w:szCs w:val="24"/>
        </w:rPr>
        <w:t>prekanceroznih</w:t>
      </w:r>
      <w:proofErr w:type="spellEnd"/>
      <w:r w:rsidRPr="00D34B1A">
        <w:rPr>
          <w:sz w:val="24"/>
          <w:szCs w:val="24"/>
        </w:rPr>
        <w:t xml:space="preserve"> stanja kako bi se spriječila pojava karcinoma.</w:t>
      </w:r>
    </w:p>
    <w:p w14:paraId="4C503146" w14:textId="77777777" w:rsidR="00036CDF" w:rsidRDefault="00036CDF" w:rsidP="00036CDF">
      <w:pPr>
        <w:jc w:val="both"/>
        <w:rPr>
          <w:sz w:val="24"/>
          <w:szCs w:val="24"/>
        </w:rPr>
      </w:pPr>
      <w:r w:rsidRPr="00D34B1A">
        <w:rPr>
          <w:sz w:val="24"/>
          <w:szCs w:val="24"/>
        </w:rPr>
        <w:t xml:space="preserve">Projekt </w:t>
      </w:r>
      <w:proofErr w:type="spellStart"/>
      <w:r w:rsidRPr="00D34B1A">
        <w:rPr>
          <w:sz w:val="24"/>
          <w:szCs w:val="24"/>
        </w:rPr>
        <w:t>Befortime</w:t>
      </w:r>
      <w:proofErr w:type="spellEnd"/>
      <w:r w:rsidRPr="00D34B1A">
        <w:rPr>
          <w:sz w:val="24"/>
          <w:szCs w:val="24"/>
        </w:rPr>
        <w:t xml:space="preserve"> predstavlja značajan korak u jačanju prevencije i edukacije o raku vrata maternice te poboljšanju zdravstvene zaštite za žene u Hrvatskoj, Bosni i Hercegovini i Crnoj Gori.</w:t>
      </w:r>
    </w:p>
    <w:p w14:paraId="3B7F156F" w14:textId="77777777" w:rsidR="00036CDF" w:rsidRPr="00887D17" w:rsidRDefault="00036CDF" w:rsidP="00036CDF">
      <w:pPr>
        <w:jc w:val="both"/>
        <w:rPr>
          <w:sz w:val="24"/>
          <w:szCs w:val="24"/>
        </w:rPr>
      </w:pPr>
    </w:p>
    <w:p w14:paraId="15B276B1" w14:textId="77777777" w:rsidR="00057508" w:rsidRDefault="00057508" w:rsidP="00AB23FD">
      <w:pPr>
        <w:pStyle w:val="Tijeloteksta"/>
        <w:jc w:val="both"/>
      </w:pPr>
    </w:p>
    <w:p w14:paraId="7A802F4D" w14:textId="77777777" w:rsidR="00057508" w:rsidRDefault="00057508" w:rsidP="00AB23FD">
      <w:pPr>
        <w:pStyle w:val="Tijeloteksta"/>
        <w:jc w:val="both"/>
      </w:pPr>
    </w:p>
    <w:p w14:paraId="22A3965C" w14:textId="77777777" w:rsidR="00057508" w:rsidRDefault="00057508" w:rsidP="00AB23FD">
      <w:pPr>
        <w:pStyle w:val="Tijeloteksta"/>
        <w:jc w:val="both"/>
      </w:pPr>
    </w:p>
    <w:p w14:paraId="2F78BF0C" w14:textId="60C4131B" w:rsidR="00AB23FD" w:rsidRDefault="003965FA" w:rsidP="00AB23FD">
      <w:pPr>
        <w:pStyle w:val="Tijeloteksta"/>
        <w:jc w:val="both"/>
      </w:pPr>
      <w:r>
        <w:t>Obrazloženje</w:t>
      </w:r>
      <w:r w:rsidR="00AB23FD">
        <w:t xml:space="preserve"> sastavila:</w:t>
      </w:r>
      <w:r w:rsidR="00772878">
        <w:tab/>
      </w:r>
      <w:r w:rsidR="00772878">
        <w:tab/>
      </w:r>
      <w:r w:rsidR="00772878">
        <w:tab/>
      </w:r>
      <w:r w:rsidR="00772878">
        <w:tab/>
      </w:r>
      <w:r w:rsidR="00772878">
        <w:tab/>
        <w:t>Odgovorna osoba:</w:t>
      </w:r>
    </w:p>
    <w:p w14:paraId="464609A6" w14:textId="15B0A61A" w:rsidR="00AB23FD" w:rsidRDefault="00AB23FD" w:rsidP="00AB23FD">
      <w:pPr>
        <w:pStyle w:val="Tijeloteksta"/>
        <w:jc w:val="both"/>
      </w:pPr>
      <w:r>
        <w:t>Voditeljica Službe za</w:t>
      </w:r>
      <w:r>
        <w:tab/>
        <w:t xml:space="preserve">                                                          </w:t>
      </w:r>
      <w:r w:rsidR="0099296D">
        <w:tab/>
      </w:r>
      <w:r>
        <w:t xml:space="preserve"> </w:t>
      </w:r>
      <w:r w:rsidR="0099296D">
        <w:t>Ravnatelj</w:t>
      </w:r>
      <w:r>
        <w:t xml:space="preserve">: </w:t>
      </w:r>
    </w:p>
    <w:p w14:paraId="07ECFA6D" w14:textId="1F279D2C" w:rsidR="00AB23FD" w:rsidRDefault="00AB23FD" w:rsidP="00AB23FD">
      <w:pPr>
        <w:pStyle w:val="Tijeloteksta"/>
        <w:jc w:val="both"/>
      </w:pPr>
      <w:r>
        <w:t xml:space="preserve">Zajedničke poslove                                           </w:t>
      </w:r>
      <w:r w:rsidR="0099296D">
        <w:tab/>
      </w:r>
      <w:r w:rsidR="0099296D">
        <w:tab/>
      </w:r>
      <w:r>
        <w:t xml:space="preserve"> </w:t>
      </w:r>
      <w:r w:rsidR="0099296D">
        <w:t>Benito Pucar, dipl. ing</w:t>
      </w:r>
      <w:r>
        <w:t>.</w:t>
      </w:r>
    </w:p>
    <w:p w14:paraId="56CA4624" w14:textId="6E7ED133" w:rsidR="00CD5AC3" w:rsidRPr="00485EBC" w:rsidRDefault="00AB23FD" w:rsidP="003965FA">
      <w:pPr>
        <w:pStyle w:val="Tijeloteksta"/>
        <w:jc w:val="both"/>
      </w:pPr>
      <w:r>
        <w:t xml:space="preserve">Tajana Pijaca, dipl. oec. </w:t>
      </w:r>
      <w:r>
        <w:tab/>
      </w:r>
      <w:r>
        <w:tab/>
      </w:r>
      <w:r>
        <w:tab/>
      </w:r>
      <w:r>
        <w:tab/>
        <w:t xml:space="preserve">  </w:t>
      </w:r>
      <w:r w:rsidR="003965FA">
        <w:t xml:space="preserve">                  </w:t>
      </w:r>
    </w:p>
    <w:sectPr w:rsidR="00CD5AC3" w:rsidRPr="00485EBC" w:rsidSect="000E3D00">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92DF3" w14:textId="77777777" w:rsidR="00F80852" w:rsidRDefault="00F80852" w:rsidP="00EA5133">
      <w:r>
        <w:separator/>
      </w:r>
    </w:p>
  </w:endnote>
  <w:endnote w:type="continuationSeparator" w:id="0">
    <w:p w14:paraId="6DA01D64" w14:textId="77777777" w:rsidR="00F80852" w:rsidRDefault="00F80852" w:rsidP="00EA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154422"/>
      <w:docPartObj>
        <w:docPartGallery w:val="Page Numbers (Bottom of Page)"/>
        <w:docPartUnique/>
      </w:docPartObj>
    </w:sdtPr>
    <w:sdtEndPr/>
    <w:sdtContent>
      <w:p w14:paraId="34A140C2" w14:textId="77777777" w:rsidR="002804CB" w:rsidRDefault="002804CB">
        <w:pPr>
          <w:pStyle w:val="Podnoje"/>
          <w:jc w:val="center"/>
        </w:pPr>
        <w:r>
          <w:fldChar w:fldCharType="begin"/>
        </w:r>
        <w:r>
          <w:instrText>PAGE   \* MERGEFORMAT</w:instrText>
        </w:r>
        <w:r>
          <w:fldChar w:fldCharType="separate"/>
        </w:r>
        <w:r w:rsidR="002B6CE6">
          <w:rPr>
            <w:noProof/>
          </w:rPr>
          <w:t>19</w:t>
        </w:r>
        <w:r>
          <w:fldChar w:fldCharType="end"/>
        </w:r>
      </w:p>
    </w:sdtContent>
  </w:sdt>
  <w:p w14:paraId="293E152A" w14:textId="77777777" w:rsidR="002804CB" w:rsidRDefault="002804C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362A9" w14:textId="77777777" w:rsidR="00F80852" w:rsidRDefault="00F80852" w:rsidP="00EA5133">
      <w:r>
        <w:separator/>
      </w:r>
    </w:p>
  </w:footnote>
  <w:footnote w:type="continuationSeparator" w:id="0">
    <w:p w14:paraId="491A3BA2" w14:textId="77777777" w:rsidR="00F80852" w:rsidRDefault="00F80852" w:rsidP="00EA5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EA1"/>
    <w:multiLevelType w:val="hybridMultilevel"/>
    <w:tmpl w:val="D49284E4"/>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1" w15:restartNumberingAfterBreak="0">
    <w:nsid w:val="07213F4E"/>
    <w:multiLevelType w:val="hybridMultilevel"/>
    <w:tmpl w:val="B298057A"/>
    <w:lvl w:ilvl="0" w:tplc="E50EEC72">
      <w:start w:val="1"/>
      <w:numFmt w:val="bullet"/>
      <w:lvlText w:val="-"/>
      <w:lvlJc w:val="left"/>
      <w:pPr>
        <w:ind w:left="2520" w:hanging="360"/>
      </w:pPr>
      <w:rPr>
        <w:rFonts w:ascii="Sylfaen" w:hAnsi="Sylfae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 w15:restartNumberingAfterBreak="0">
    <w:nsid w:val="0FB00827"/>
    <w:multiLevelType w:val="hybridMultilevel"/>
    <w:tmpl w:val="E4CAC0E6"/>
    <w:lvl w:ilvl="0" w:tplc="98B86744">
      <w:numFmt w:val="bullet"/>
      <w:lvlText w:val="•"/>
      <w:lvlJc w:val="left"/>
      <w:pPr>
        <w:ind w:left="3240" w:hanging="360"/>
      </w:pPr>
      <w:rPr>
        <w:rFonts w:ascii="Times New Roman" w:eastAsia="Times New Roman" w:hAnsi="Times New Roman" w:cs="Times New Roman"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3" w15:restartNumberingAfterBreak="0">
    <w:nsid w:val="15C15408"/>
    <w:multiLevelType w:val="hybridMultilevel"/>
    <w:tmpl w:val="0EAAF8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4D3DC5"/>
    <w:multiLevelType w:val="hybridMultilevel"/>
    <w:tmpl w:val="029EDB6A"/>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5" w15:restartNumberingAfterBreak="0">
    <w:nsid w:val="16711646"/>
    <w:multiLevelType w:val="hybridMultilevel"/>
    <w:tmpl w:val="59928E88"/>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6" w15:restartNumberingAfterBreak="0">
    <w:nsid w:val="17D736D1"/>
    <w:multiLevelType w:val="hybridMultilevel"/>
    <w:tmpl w:val="11BCB114"/>
    <w:lvl w:ilvl="0" w:tplc="98B86744">
      <w:numFmt w:val="bullet"/>
      <w:lvlText w:val="•"/>
      <w:lvlJc w:val="left"/>
      <w:pPr>
        <w:ind w:left="2160" w:hanging="360"/>
      </w:pPr>
      <w:rPr>
        <w:rFonts w:ascii="Times New Roman" w:eastAsia="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7" w15:restartNumberingAfterBreak="0">
    <w:nsid w:val="1A696A1D"/>
    <w:multiLevelType w:val="hybridMultilevel"/>
    <w:tmpl w:val="ADF2BE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BF71A9"/>
    <w:multiLevelType w:val="hybridMultilevel"/>
    <w:tmpl w:val="4EDE11E6"/>
    <w:lvl w:ilvl="0" w:tplc="E50EEC72">
      <w:start w:val="1"/>
      <w:numFmt w:val="bullet"/>
      <w:lvlText w:val="-"/>
      <w:lvlJc w:val="left"/>
      <w:pPr>
        <w:ind w:left="2520" w:hanging="360"/>
      </w:pPr>
      <w:rPr>
        <w:rFonts w:ascii="Sylfaen" w:hAnsi="Sylfae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 w15:restartNumberingAfterBreak="0">
    <w:nsid w:val="1F327DAB"/>
    <w:multiLevelType w:val="hybridMultilevel"/>
    <w:tmpl w:val="67E8863C"/>
    <w:lvl w:ilvl="0" w:tplc="403C8AB2">
      <w:start w:val="85"/>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204F2410"/>
    <w:multiLevelType w:val="hybridMultilevel"/>
    <w:tmpl w:val="0554CD3A"/>
    <w:lvl w:ilvl="0" w:tplc="72745856">
      <w:start w:val="2"/>
      <w:numFmt w:val="decimal"/>
      <w:lvlText w:val="%1."/>
      <w:lvlJc w:val="left"/>
      <w:pPr>
        <w:ind w:left="2160" w:hanging="360"/>
      </w:pPr>
      <w:rPr>
        <w:rFonts w:ascii="Times New Roman" w:eastAsia="Times New Roman" w:hAnsi="Times New Roman" w:cs="Times New Roman" w:hint="default"/>
        <w:spacing w:val="-3"/>
        <w:w w:val="99"/>
        <w:sz w:val="24"/>
        <w:szCs w:val="24"/>
        <w:lang w:val="hr-HR" w:eastAsia="en-US" w:bidi="ar-SA"/>
      </w:rPr>
    </w:lvl>
    <w:lvl w:ilvl="1" w:tplc="5C80F368">
      <w:numFmt w:val="bullet"/>
      <w:lvlText w:val="•"/>
      <w:lvlJc w:val="left"/>
      <w:pPr>
        <w:ind w:left="3134" w:hanging="360"/>
      </w:pPr>
      <w:rPr>
        <w:rFonts w:hint="default"/>
        <w:lang w:val="hr-HR" w:eastAsia="en-US" w:bidi="ar-SA"/>
      </w:rPr>
    </w:lvl>
    <w:lvl w:ilvl="2" w:tplc="7CBEEEB2">
      <w:numFmt w:val="bullet"/>
      <w:lvlText w:val="•"/>
      <w:lvlJc w:val="left"/>
      <w:pPr>
        <w:ind w:left="4108" w:hanging="360"/>
      </w:pPr>
      <w:rPr>
        <w:rFonts w:hint="default"/>
        <w:lang w:val="hr-HR" w:eastAsia="en-US" w:bidi="ar-SA"/>
      </w:rPr>
    </w:lvl>
    <w:lvl w:ilvl="3" w:tplc="D2D49758">
      <w:numFmt w:val="bullet"/>
      <w:lvlText w:val="•"/>
      <w:lvlJc w:val="left"/>
      <w:pPr>
        <w:ind w:left="5083" w:hanging="360"/>
      </w:pPr>
      <w:rPr>
        <w:rFonts w:hint="default"/>
        <w:lang w:val="hr-HR" w:eastAsia="en-US" w:bidi="ar-SA"/>
      </w:rPr>
    </w:lvl>
    <w:lvl w:ilvl="4" w:tplc="8904D91C">
      <w:numFmt w:val="bullet"/>
      <w:lvlText w:val="•"/>
      <w:lvlJc w:val="left"/>
      <w:pPr>
        <w:ind w:left="6057" w:hanging="360"/>
      </w:pPr>
      <w:rPr>
        <w:rFonts w:hint="default"/>
        <w:lang w:val="hr-HR" w:eastAsia="en-US" w:bidi="ar-SA"/>
      </w:rPr>
    </w:lvl>
    <w:lvl w:ilvl="5" w:tplc="8A5A230C">
      <w:numFmt w:val="bullet"/>
      <w:lvlText w:val="•"/>
      <w:lvlJc w:val="left"/>
      <w:pPr>
        <w:ind w:left="7032" w:hanging="360"/>
      </w:pPr>
      <w:rPr>
        <w:rFonts w:hint="default"/>
        <w:lang w:val="hr-HR" w:eastAsia="en-US" w:bidi="ar-SA"/>
      </w:rPr>
    </w:lvl>
    <w:lvl w:ilvl="6" w:tplc="E43ECDEE">
      <w:numFmt w:val="bullet"/>
      <w:lvlText w:val="•"/>
      <w:lvlJc w:val="left"/>
      <w:pPr>
        <w:ind w:left="8006" w:hanging="360"/>
      </w:pPr>
      <w:rPr>
        <w:rFonts w:hint="default"/>
        <w:lang w:val="hr-HR" w:eastAsia="en-US" w:bidi="ar-SA"/>
      </w:rPr>
    </w:lvl>
    <w:lvl w:ilvl="7" w:tplc="C976289E">
      <w:numFmt w:val="bullet"/>
      <w:lvlText w:val="•"/>
      <w:lvlJc w:val="left"/>
      <w:pPr>
        <w:ind w:left="8980" w:hanging="360"/>
      </w:pPr>
      <w:rPr>
        <w:rFonts w:hint="default"/>
        <w:lang w:val="hr-HR" w:eastAsia="en-US" w:bidi="ar-SA"/>
      </w:rPr>
    </w:lvl>
    <w:lvl w:ilvl="8" w:tplc="93967D98">
      <w:numFmt w:val="bullet"/>
      <w:lvlText w:val="•"/>
      <w:lvlJc w:val="left"/>
      <w:pPr>
        <w:ind w:left="9955" w:hanging="360"/>
      </w:pPr>
      <w:rPr>
        <w:rFonts w:hint="default"/>
        <w:lang w:val="hr-HR" w:eastAsia="en-US" w:bidi="ar-SA"/>
      </w:rPr>
    </w:lvl>
  </w:abstractNum>
  <w:abstractNum w:abstractNumId="11" w15:restartNumberingAfterBreak="0">
    <w:nsid w:val="22C819E6"/>
    <w:multiLevelType w:val="hybridMultilevel"/>
    <w:tmpl w:val="A0961B2E"/>
    <w:lvl w:ilvl="0" w:tplc="041A0001">
      <w:start w:val="1"/>
      <w:numFmt w:val="bullet"/>
      <w:lvlText w:val=""/>
      <w:lvlJc w:val="left"/>
      <w:pPr>
        <w:ind w:left="915" w:hanging="360"/>
      </w:pPr>
      <w:rPr>
        <w:rFonts w:ascii="Symbol" w:hAnsi="Symbol"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12" w15:restartNumberingAfterBreak="0">
    <w:nsid w:val="253174EF"/>
    <w:multiLevelType w:val="hybridMultilevel"/>
    <w:tmpl w:val="A440C470"/>
    <w:lvl w:ilvl="0" w:tplc="10FE4F4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1B77D3"/>
    <w:multiLevelType w:val="hybridMultilevel"/>
    <w:tmpl w:val="7C0417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982A1A"/>
    <w:multiLevelType w:val="hybridMultilevel"/>
    <w:tmpl w:val="BCEC1D78"/>
    <w:lvl w:ilvl="0" w:tplc="98B86744">
      <w:numFmt w:val="bullet"/>
      <w:lvlText w:val="•"/>
      <w:lvlJc w:val="left"/>
      <w:pPr>
        <w:ind w:left="2520" w:hanging="360"/>
      </w:pPr>
      <w:rPr>
        <w:rFonts w:ascii="Times New Roman" w:eastAsia="Times New Roman" w:hAnsi="Times New Roman" w:cs="Times New Roma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5" w15:restartNumberingAfterBreak="0">
    <w:nsid w:val="347C480E"/>
    <w:multiLevelType w:val="multilevel"/>
    <w:tmpl w:val="2A569B42"/>
    <w:lvl w:ilvl="0">
      <w:start w:val="1"/>
      <w:numFmt w:val="bullet"/>
      <w:lvlText w:val=""/>
      <w:lvlJc w:val="left"/>
      <w:pPr>
        <w:ind w:left="1740" w:hanging="1020"/>
      </w:pPr>
      <w:rPr>
        <w:rFonts w:ascii="Symbol" w:hAnsi="Symbol" w:hint="default"/>
        <w:lang w:val="hr-HR" w:eastAsia="en-US" w:bidi="ar-SA"/>
      </w:rPr>
    </w:lvl>
    <w:lvl w:ilvl="1">
      <w:start w:val="490"/>
      <w:numFmt w:val="decimal"/>
      <w:lvlText w:val="%1.%2"/>
      <w:lvlJc w:val="left"/>
      <w:pPr>
        <w:ind w:left="1740" w:hanging="1020"/>
      </w:pPr>
      <w:rPr>
        <w:rFonts w:hint="default"/>
        <w:lang w:val="hr-HR" w:eastAsia="en-US" w:bidi="ar-SA"/>
      </w:rPr>
    </w:lvl>
    <w:lvl w:ilvl="2">
      <w:numFmt w:val="decimalZero"/>
      <w:lvlText w:val="%1.%2.%3"/>
      <w:lvlJc w:val="left"/>
      <w:pPr>
        <w:ind w:left="1740" w:hanging="1020"/>
      </w:pPr>
      <w:rPr>
        <w:rFonts w:ascii="Times New Roman" w:eastAsia="Times New Roman" w:hAnsi="Times New Roman" w:cs="Times New Roman" w:hint="default"/>
        <w:spacing w:val="-3"/>
        <w:w w:val="100"/>
        <w:sz w:val="24"/>
        <w:szCs w:val="24"/>
        <w:lang w:val="hr-HR" w:eastAsia="en-US" w:bidi="ar-SA"/>
      </w:rPr>
    </w:lvl>
    <w:lvl w:ilvl="3">
      <w:numFmt w:val="bullet"/>
      <w:lvlText w:val=""/>
      <w:lvlJc w:val="left"/>
      <w:pPr>
        <w:ind w:left="1440" w:hanging="360"/>
      </w:pPr>
      <w:rPr>
        <w:rFonts w:hint="default"/>
        <w:w w:val="99"/>
        <w:lang w:val="hr-HR" w:eastAsia="en-US" w:bidi="ar-SA"/>
      </w:rPr>
    </w:lvl>
    <w:lvl w:ilvl="4">
      <w:numFmt w:val="bullet"/>
      <w:lvlText w:val="•"/>
      <w:lvlJc w:val="left"/>
      <w:pPr>
        <w:ind w:left="4888" w:hanging="360"/>
      </w:pPr>
      <w:rPr>
        <w:rFonts w:hint="default"/>
        <w:lang w:val="hr-HR" w:eastAsia="en-US" w:bidi="ar-SA"/>
      </w:rPr>
    </w:lvl>
    <w:lvl w:ilvl="5">
      <w:numFmt w:val="bullet"/>
      <w:lvlText w:val="•"/>
      <w:lvlJc w:val="left"/>
      <w:pPr>
        <w:ind w:left="5937" w:hanging="360"/>
      </w:pPr>
      <w:rPr>
        <w:rFonts w:hint="default"/>
        <w:lang w:val="hr-HR" w:eastAsia="en-US" w:bidi="ar-SA"/>
      </w:rPr>
    </w:lvl>
    <w:lvl w:ilvl="6">
      <w:numFmt w:val="bullet"/>
      <w:lvlText w:val="•"/>
      <w:lvlJc w:val="left"/>
      <w:pPr>
        <w:ind w:left="6986" w:hanging="360"/>
      </w:pPr>
      <w:rPr>
        <w:rFonts w:hint="default"/>
        <w:lang w:val="hr-HR" w:eastAsia="en-US" w:bidi="ar-SA"/>
      </w:rPr>
    </w:lvl>
    <w:lvl w:ilvl="7">
      <w:numFmt w:val="bullet"/>
      <w:lvlText w:val="•"/>
      <w:lvlJc w:val="left"/>
      <w:pPr>
        <w:ind w:left="8036" w:hanging="360"/>
      </w:pPr>
      <w:rPr>
        <w:rFonts w:hint="default"/>
        <w:lang w:val="hr-HR" w:eastAsia="en-US" w:bidi="ar-SA"/>
      </w:rPr>
    </w:lvl>
    <w:lvl w:ilvl="8">
      <w:numFmt w:val="bullet"/>
      <w:lvlText w:val="•"/>
      <w:lvlJc w:val="left"/>
      <w:pPr>
        <w:ind w:left="9085" w:hanging="360"/>
      </w:pPr>
      <w:rPr>
        <w:rFonts w:hint="default"/>
        <w:lang w:val="hr-HR" w:eastAsia="en-US" w:bidi="ar-SA"/>
      </w:rPr>
    </w:lvl>
  </w:abstractNum>
  <w:abstractNum w:abstractNumId="16" w15:restartNumberingAfterBreak="0">
    <w:nsid w:val="35AA00AA"/>
    <w:multiLevelType w:val="hybridMultilevel"/>
    <w:tmpl w:val="5EAEC77E"/>
    <w:lvl w:ilvl="0" w:tplc="E50EEC72">
      <w:start w:val="1"/>
      <w:numFmt w:val="bullet"/>
      <w:lvlText w:val="-"/>
      <w:lvlJc w:val="left"/>
      <w:pPr>
        <w:ind w:left="2520" w:hanging="360"/>
      </w:pPr>
      <w:rPr>
        <w:rFonts w:ascii="Sylfaen" w:hAnsi="Sylfae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7" w15:restartNumberingAfterBreak="0">
    <w:nsid w:val="3E713DFA"/>
    <w:multiLevelType w:val="multilevel"/>
    <w:tmpl w:val="F690BA5A"/>
    <w:lvl w:ilvl="0">
      <w:start w:val="2"/>
      <w:numFmt w:val="decimal"/>
      <w:lvlText w:val="%1"/>
      <w:lvlJc w:val="left"/>
      <w:pPr>
        <w:ind w:left="1740" w:hanging="1020"/>
      </w:pPr>
      <w:rPr>
        <w:rFonts w:hint="default"/>
        <w:lang w:val="hr-HR" w:eastAsia="en-US" w:bidi="ar-SA"/>
      </w:rPr>
    </w:lvl>
    <w:lvl w:ilvl="1">
      <w:start w:val="490"/>
      <w:numFmt w:val="decimal"/>
      <w:lvlText w:val="%1.%2"/>
      <w:lvlJc w:val="left"/>
      <w:pPr>
        <w:ind w:left="1740" w:hanging="1020"/>
      </w:pPr>
      <w:rPr>
        <w:rFonts w:hint="default"/>
        <w:lang w:val="hr-HR" w:eastAsia="en-US" w:bidi="ar-SA"/>
      </w:rPr>
    </w:lvl>
    <w:lvl w:ilvl="2">
      <w:numFmt w:val="decimalZero"/>
      <w:lvlText w:val="%1.%2.%3"/>
      <w:lvlJc w:val="left"/>
      <w:pPr>
        <w:ind w:left="1740" w:hanging="1020"/>
      </w:pPr>
      <w:rPr>
        <w:rFonts w:ascii="Times New Roman" w:eastAsia="Times New Roman" w:hAnsi="Times New Roman" w:cs="Times New Roman" w:hint="default"/>
        <w:spacing w:val="-3"/>
        <w:w w:val="100"/>
        <w:sz w:val="24"/>
        <w:szCs w:val="24"/>
        <w:lang w:val="hr-HR" w:eastAsia="en-US" w:bidi="ar-SA"/>
      </w:rPr>
    </w:lvl>
    <w:lvl w:ilvl="3">
      <w:numFmt w:val="bullet"/>
      <w:lvlText w:val=""/>
      <w:lvlJc w:val="left"/>
      <w:pPr>
        <w:ind w:left="1440" w:hanging="360"/>
      </w:pPr>
      <w:rPr>
        <w:rFonts w:hint="default"/>
        <w:w w:val="99"/>
        <w:lang w:val="hr-HR" w:eastAsia="en-US" w:bidi="ar-SA"/>
      </w:rPr>
    </w:lvl>
    <w:lvl w:ilvl="4">
      <w:numFmt w:val="bullet"/>
      <w:lvlText w:val="•"/>
      <w:lvlJc w:val="left"/>
      <w:pPr>
        <w:ind w:left="4888" w:hanging="360"/>
      </w:pPr>
      <w:rPr>
        <w:rFonts w:hint="default"/>
        <w:lang w:val="hr-HR" w:eastAsia="en-US" w:bidi="ar-SA"/>
      </w:rPr>
    </w:lvl>
    <w:lvl w:ilvl="5">
      <w:numFmt w:val="bullet"/>
      <w:lvlText w:val="•"/>
      <w:lvlJc w:val="left"/>
      <w:pPr>
        <w:ind w:left="5937" w:hanging="360"/>
      </w:pPr>
      <w:rPr>
        <w:rFonts w:hint="default"/>
        <w:lang w:val="hr-HR" w:eastAsia="en-US" w:bidi="ar-SA"/>
      </w:rPr>
    </w:lvl>
    <w:lvl w:ilvl="6">
      <w:numFmt w:val="bullet"/>
      <w:lvlText w:val="•"/>
      <w:lvlJc w:val="left"/>
      <w:pPr>
        <w:ind w:left="6986" w:hanging="360"/>
      </w:pPr>
      <w:rPr>
        <w:rFonts w:hint="default"/>
        <w:lang w:val="hr-HR" w:eastAsia="en-US" w:bidi="ar-SA"/>
      </w:rPr>
    </w:lvl>
    <w:lvl w:ilvl="7">
      <w:numFmt w:val="bullet"/>
      <w:lvlText w:val="•"/>
      <w:lvlJc w:val="left"/>
      <w:pPr>
        <w:ind w:left="8036" w:hanging="360"/>
      </w:pPr>
      <w:rPr>
        <w:rFonts w:hint="default"/>
        <w:lang w:val="hr-HR" w:eastAsia="en-US" w:bidi="ar-SA"/>
      </w:rPr>
    </w:lvl>
    <w:lvl w:ilvl="8">
      <w:numFmt w:val="bullet"/>
      <w:lvlText w:val="•"/>
      <w:lvlJc w:val="left"/>
      <w:pPr>
        <w:ind w:left="9085" w:hanging="360"/>
      </w:pPr>
      <w:rPr>
        <w:rFonts w:hint="default"/>
        <w:lang w:val="hr-HR" w:eastAsia="en-US" w:bidi="ar-SA"/>
      </w:rPr>
    </w:lvl>
  </w:abstractNum>
  <w:abstractNum w:abstractNumId="18" w15:restartNumberingAfterBreak="0">
    <w:nsid w:val="41800775"/>
    <w:multiLevelType w:val="hybridMultilevel"/>
    <w:tmpl w:val="9894CB14"/>
    <w:lvl w:ilvl="0" w:tplc="041A0003">
      <w:start w:val="1"/>
      <w:numFmt w:val="bullet"/>
      <w:lvlText w:val="o"/>
      <w:lvlJc w:val="left"/>
      <w:pPr>
        <w:ind w:left="2520" w:hanging="360"/>
      </w:pPr>
      <w:rPr>
        <w:rFonts w:ascii="Courier New" w:hAnsi="Courier New" w:cs="Courier New"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9" w15:restartNumberingAfterBreak="0">
    <w:nsid w:val="42C95474"/>
    <w:multiLevelType w:val="hybridMultilevel"/>
    <w:tmpl w:val="4614ED4C"/>
    <w:lvl w:ilvl="0" w:tplc="E50EEC72">
      <w:start w:val="1"/>
      <w:numFmt w:val="bullet"/>
      <w:lvlText w:val="-"/>
      <w:lvlJc w:val="left"/>
      <w:pPr>
        <w:ind w:left="2520" w:hanging="360"/>
      </w:pPr>
      <w:rPr>
        <w:rFonts w:ascii="Sylfaen" w:hAnsi="Sylfae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0" w15:restartNumberingAfterBreak="0">
    <w:nsid w:val="4510494D"/>
    <w:multiLevelType w:val="hybridMultilevel"/>
    <w:tmpl w:val="8968F770"/>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1" w15:restartNumberingAfterBreak="0">
    <w:nsid w:val="493A688C"/>
    <w:multiLevelType w:val="hybridMultilevel"/>
    <w:tmpl w:val="26840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563D2B"/>
    <w:multiLevelType w:val="hybridMultilevel"/>
    <w:tmpl w:val="689E156E"/>
    <w:lvl w:ilvl="0" w:tplc="1B803C52">
      <w:start w:val="1"/>
      <w:numFmt w:val="upp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3" w15:restartNumberingAfterBreak="0">
    <w:nsid w:val="4DA166DF"/>
    <w:multiLevelType w:val="hybridMultilevel"/>
    <w:tmpl w:val="A2C27B24"/>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4" w15:restartNumberingAfterBreak="0">
    <w:nsid w:val="547E2793"/>
    <w:multiLevelType w:val="hybridMultilevel"/>
    <w:tmpl w:val="5CE422EA"/>
    <w:lvl w:ilvl="0" w:tplc="E330684A">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CE767E"/>
    <w:multiLevelType w:val="hybridMultilevel"/>
    <w:tmpl w:val="62085DEE"/>
    <w:lvl w:ilvl="0" w:tplc="0D70FF72">
      <w:start w:val="1"/>
      <w:numFmt w:val="upp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6" w15:restartNumberingAfterBreak="0">
    <w:nsid w:val="5B785109"/>
    <w:multiLevelType w:val="hybridMultilevel"/>
    <w:tmpl w:val="11A2BBA6"/>
    <w:lvl w:ilvl="0" w:tplc="B444136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F04A10"/>
    <w:multiLevelType w:val="hybridMultilevel"/>
    <w:tmpl w:val="627EF418"/>
    <w:lvl w:ilvl="0" w:tplc="5C3C0544">
      <w:start w:val="1"/>
      <w:numFmt w:val="decimal"/>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8" w15:restartNumberingAfterBreak="0">
    <w:nsid w:val="5F8C53FF"/>
    <w:multiLevelType w:val="hybridMultilevel"/>
    <w:tmpl w:val="5E08E656"/>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9" w15:restartNumberingAfterBreak="0">
    <w:nsid w:val="64AD7BAC"/>
    <w:multiLevelType w:val="hybridMultilevel"/>
    <w:tmpl w:val="7A84B7FC"/>
    <w:lvl w:ilvl="0" w:tplc="041A0003">
      <w:start w:val="1"/>
      <w:numFmt w:val="bullet"/>
      <w:lvlText w:val="o"/>
      <w:lvlJc w:val="left"/>
      <w:pPr>
        <w:ind w:left="2160" w:hanging="360"/>
      </w:pPr>
      <w:rPr>
        <w:rFonts w:ascii="Courier New"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0" w15:restartNumberingAfterBreak="0">
    <w:nsid w:val="6B810023"/>
    <w:multiLevelType w:val="hybridMultilevel"/>
    <w:tmpl w:val="C89A51B2"/>
    <w:lvl w:ilvl="0" w:tplc="98B86744">
      <w:numFmt w:val="bullet"/>
      <w:lvlText w:val="•"/>
      <w:lvlJc w:val="left"/>
      <w:pPr>
        <w:ind w:left="3960" w:hanging="360"/>
      </w:pPr>
      <w:rPr>
        <w:rFonts w:ascii="Times New Roman" w:eastAsia="Times New Roman" w:hAnsi="Times New Roman" w:cs="Times New Roma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1" w15:restartNumberingAfterBreak="0">
    <w:nsid w:val="72282949"/>
    <w:multiLevelType w:val="hybridMultilevel"/>
    <w:tmpl w:val="265AA71A"/>
    <w:lvl w:ilvl="0" w:tplc="98B86744">
      <w:numFmt w:val="bullet"/>
      <w:lvlText w:val="•"/>
      <w:lvlJc w:val="left"/>
      <w:pPr>
        <w:ind w:left="3960" w:hanging="360"/>
      </w:pPr>
      <w:rPr>
        <w:rFonts w:ascii="Times New Roman" w:eastAsia="Times New Roman" w:hAnsi="Times New Roman" w:cs="Times New Roma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2" w15:restartNumberingAfterBreak="0">
    <w:nsid w:val="73A26D2A"/>
    <w:multiLevelType w:val="hybridMultilevel"/>
    <w:tmpl w:val="927632F8"/>
    <w:lvl w:ilvl="0" w:tplc="D52C9166">
      <w:numFmt w:val="bullet"/>
      <w:lvlText w:val=""/>
      <w:lvlJc w:val="left"/>
      <w:pPr>
        <w:ind w:left="2160" w:hanging="360"/>
      </w:pPr>
      <w:rPr>
        <w:rFonts w:ascii="Symbol" w:eastAsia="Times New Roman" w:hAnsi="Symbol"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3" w15:restartNumberingAfterBreak="0">
    <w:nsid w:val="755216CC"/>
    <w:multiLevelType w:val="hybridMultilevel"/>
    <w:tmpl w:val="857684D6"/>
    <w:lvl w:ilvl="0" w:tplc="703C14BC">
      <w:start w:val="1"/>
      <w:numFmt w:val="decimal"/>
      <w:lvlText w:val="%1."/>
      <w:lvlJc w:val="left"/>
      <w:pPr>
        <w:ind w:left="2160" w:hanging="360"/>
      </w:pPr>
      <w:rPr>
        <w:rFonts w:ascii="Times New Roman" w:eastAsia="Times New Roman" w:hAnsi="Times New Roman" w:cs="Times New Roman" w:hint="default"/>
        <w:spacing w:val="-3"/>
        <w:w w:val="100"/>
        <w:sz w:val="24"/>
        <w:szCs w:val="24"/>
        <w:lang w:val="hr-HR" w:eastAsia="en-US" w:bidi="ar-SA"/>
      </w:rPr>
    </w:lvl>
    <w:lvl w:ilvl="1" w:tplc="B8C84A14">
      <w:numFmt w:val="bullet"/>
      <w:lvlText w:val="•"/>
      <w:lvlJc w:val="left"/>
      <w:pPr>
        <w:ind w:left="3134" w:hanging="360"/>
      </w:pPr>
      <w:rPr>
        <w:rFonts w:hint="default"/>
        <w:lang w:val="hr-HR" w:eastAsia="en-US" w:bidi="ar-SA"/>
      </w:rPr>
    </w:lvl>
    <w:lvl w:ilvl="2" w:tplc="5726C80E">
      <w:numFmt w:val="bullet"/>
      <w:lvlText w:val="•"/>
      <w:lvlJc w:val="left"/>
      <w:pPr>
        <w:ind w:left="4108" w:hanging="360"/>
      </w:pPr>
      <w:rPr>
        <w:rFonts w:hint="default"/>
        <w:lang w:val="hr-HR" w:eastAsia="en-US" w:bidi="ar-SA"/>
      </w:rPr>
    </w:lvl>
    <w:lvl w:ilvl="3" w:tplc="332463BC">
      <w:numFmt w:val="bullet"/>
      <w:lvlText w:val="•"/>
      <w:lvlJc w:val="left"/>
      <w:pPr>
        <w:ind w:left="5083" w:hanging="360"/>
      </w:pPr>
      <w:rPr>
        <w:rFonts w:hint="default"/>
        <w:lang w:val="hr-HR" w:eastAsia="en-US" w:bidi="ar-SA"/>
      </w:rPr>
    </w:lvl>
    <w:lvl w:ilvl="4" w:tplc="C0F64CCA">
      <w:numFmt w:val="bullet"/>
      <w:lvlText w:val="•"/>
      <w:lvlJc w:val="left"/>
      <w:pPr>
        <w:ind w:left="6057" w:hanging="360"/>
      </w:pPr>
      <w:rPr>
        <w:rFonts w:hint="default"/>
        <w:lang w:val="hr-HR" w:eastAsia="en-US" w:bidi="ar-SA"/>
      </w:rPr>
    </w:lvl>
    <w:lvl w:ilvl="5" w:tplc="318C448E">
      <w:numFmt w:val="bullet"/>
      <w:lvlText w:val="•"/>
      <w:lvlJc w:val="left"/>
      <w:pPr>
        <w:ind w:left="7032" w:hanging="360"/>
      </w:pPr>
      <w:rPr>
        <w:rFonts w:hint="default"/>
        <w:lang w:val="hr-HR" w:eastAsia="en-US" w:bidi="ar-SA"/>
      </w:rPr>
    </w:lvl>
    <w:lvl w:ilvl="6" w:tplc="8668D8E0">
      <w:numFmt w:val="bullet"/>
      <w:lvlText w:val="•"/>
      <w:lvlJc w:val="left"/>
      <w:pPr>
        <w:ind w:left="8006" w:hanging="360"/>
      </w:pPr>
      <w:rPr>
        <w:rFonts w:hint="default"/>
        <w:lang w:val="hr-HR" w:eastAsia="en-US" w:bidi="ar-SA"/>
      </w:rPr>
    </w:lvl>
    <w:lvl w:ilvl="7" w:tplc="B50E5A46">
      <w:numFmt w:val="bullet"/>
      <w:lvlText w:val="•"/>
      <w:lvlJc w:val="left"/>
      <w:pPr>
        <w:ind w:left="8980" w:hanging="360"/>
      </w:pPr>
      <w:rPr>
        <w:rFonts w:hint="default"/>
        <w:lang w:val="hr-HR" w:eastAsia="en-US" w:bidi="ar-SA"/>
      </w:rPr>
    </w:lvl>
    <w:lvl w:ilvl="8" w:tplc="C2E41FE6">
      <w:numFmt w:val="bullet"/>
      <w:lvlText w:val="•"/>
      <w:lvlJc w:val="left"/>
      <w:pPr>
        <w:ind w:left="9955" w:hanging="360"/>
      </w:pPr>
      <w:rPr>
        <w:rFonts w:hint="default"/>
        <w:lang w:val="hr-HR" w:eastAsia="en-US" w:bidi="ar-SA"/>
      </w:rPr>
    </w:lvl>
  </w:abstractNum>
  <w:abstractNum w:abstractNumId="34" w15:restartNumberingAfterBreak="0">
    <w:nsid w:val="77751B3C"/>
    <w:multiLevelType w:val="hybridMultilevel"/>
    <w:tmpl w:val="E87A44CC"/>
    <w:lvl w:ilvl="0" w:tplc="041A0015">
      <w:start w:val="1"/>
      <w:numFmt w:val="upp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5" w15:restartNumberingAfterBreak="0">
    <w:nsid w:val="793117BE"/>
    <w:multiLevelType w:val="hybridMultilevel"/>
    <w:tmpl w:val="22EAE35C"/>
    <w:lvl w:ilvl="0" w:tplc="BC768EE2">
      <w:start w:val="7"/>
      <w:numFmt w:val="decimal"/>
      <w:lvlText w:val="%1."/>
      <w:lvlJc w:val="left"/>
      <w:pPr>
        <w:ind w:left="2160" w:hanging="360"/>
      </w:pPr>
      <w:rPr>
        <w:rFonts w:ascii="Times New Roman" w:eastAsia="Times New Roman" w:hAnsi="Times New Roman" w:cs="Times New Roman" w:hint="default"/>
        <w:spacing w:val="-2"/>
        <w:w w:val="99"/>
        <w:sz w:val="24"/>
        <w:szCs w:val="24"/>
        <w:lang w:val="hr-HR" w:eastAsia="en-US" w:bidi="ar-SA"/>
      </w:rPr>
    </w:lvl>
    <w:lvl w:ilvl="1" w:tplc="01B02922">
      <w:numFmt w:val="bullet"/>
      <w:lvlText w:val="•"/>
      <w:lvlJc w:val="left"/>
      <w:pPr>
        <w:ind w:left="3134" w:hanging="360"/>
      </w:pPr>
      <w:rPr>
        <w:rFonts w:hint="default"/>
        <w:lang w:val="hr-HR" w:eastAsia="en-US" w:bidi="ar-SA"/>
      </w:rPr>
    </w:lvl>
    <w:lvl w:ilvl="2" w:tplc="5F98BFDC">
      <w:numFmt w:val="bullet"/>
      <w:lvlText w:val="•"/>
      <w:lvlJc w:val="left"/>
      <w:pPr>
        <w:ind w:left="4108" w:hanging="360"/>
      </w:pPr>
      <w:rPr>
        <w:rFonts w:hint="default"/>
        <w:lang w:val="hr-HR" w:eastAsia="en-US" w:bidi="ar-SA"/>
      </w:rPr>
    </w:lvl>
    <w:lvl w:ilvl="3" w:tplc="DC30C3E2">
      <w:numFmt w:val="bullet"/>
      <w:lvlText w:val="•"/>
      <w:lvlJc w:val="left"/>
      <w:pPr>
        <w:ind w:left="5083" w:hanging="360"/>
      </w:pPr>
      <w:rPr>
        <w:rFonts w:hint="default"/>
        <w:lang w:val="hr-HR" w:eastAsia="en-US" w:bidi="ar-SA"/>
      </w:rPr>
    </w:lvl>
    <w:lvl w:ilvl="4" w:tplc="6F4E6F68">
      <w:numFmt w:val="bullet"/>
      <w:lvlText w:val="•"/>
      <w:lvlJc w:val="left"/>
      <w:pPr>
        <w:ind w:left="6057" w:hanging="360"/>
      </w:pPr>
      <w:rPr>
        <w:rFonts w:hint="default"/>
        <w:lang w:val="hr-HR" w:eastAsia="en-US" w:bidi="ar-SA"/>
      </w:rPr>
    </w:lvl>
    <w:lvl w:ilvl="5" w:tplc="489C14F6">
      <w:numFmt w:val="bullet"/>
      <w:lvlText w:val="•"/>
      <w:lvlJc w:val="left"/>
      <w:pPr>
        <w:ind w:left="7032" w:hanging="360"/>
      </w:pPr>
      <w:rPr>
        <w:rFonts w:hint="default"/>
        <w:lang w:val="hr-HR" w:eastAsia="en-US" w:bidi="ar-SA"/>
      </w:rPr>
    </w:lvl>
    <w:lvl w:ilvl="6" w:tplc="9B34B278">
      <w:numFmt w:val="bullet"/>
      <w:lvlText w:val="•"/>
      <w:lvlJc w:val="left"/>
      <w:pPr>
        <w:ind w:left="8006" w:hanging="360"/>
      </w:pPr>
      <w:rPr>
        <w:rFonts w:hint="default"/>
        <w:lang w:val="hr-HR" w:eastAsia="en-US" w:bidi="ar-SA"/>
      </w:rPr>
    </w:lvl>
    <w:lvl w:ilvl="7" w:tplc="50288D48">
      <w:numFmt w:val="bullet"/>
      <w:lvlText w:val="•"/>
      <w:lvlJc w:val="left"/>
      <w:pPr>
        <w:ind w:left="8980" w:hanging="360"/>
      </w:pPr>
      <w:rPr>
        <w:rFonts w:hint="default"/>
        <w:lang w:val="hr-HR" w:eastAsia="en-US" w:bidi="ar-SA"/>
      </w:rPr>
    </w:lvl>
    <w:lvl w:ilvl="8" w:tplc="77E29FA4">
      <w:numFmt w:val="bullet"/>
      <w:lvlText w:val="•"/>
      <w:lvlJc w:val="left"/>
      <w:pPr>
        <w:ind w:left="9955" w:hanging="360"/>
      </w:pPr>
      <w:rPr>
        <w:rFonts w:hint="default"/>
        <w:lang w:val="hr-HR" w:eastAsia="en-US" w:bidi="ar-SA"/>
      </w:rPr>
    </w:lvl>
  </w:abstractNum>
  <w:abstractNum w:abstractNumId="36" w15:restartNumberingAfterBreak="0">
    <w:nsid w:val="7E932D44"/>
    <w:multiLevelType w:val="hybridMultilevel"/>
    <w:tmpl w:val="A3081074"/>
    <w:lvl w:ilvl="0" w:tplc="E50EEC72">
      <w:start w:val="1"/>
      <w:numFmt w:val="bullet"/>
      <w:lvlText w:val="-"/>
      <w:lvlJc w:val="left"/>
      <w:pPr>
        <w:ind w:left="2520" w:hanging="360"/>
      </w:pPr>
      <w:rPr>
        <w:rFonts w:ascii="Sylfaen" w:hAnsi="Sylfaen"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7" w15:restartNumberingAfterBreak="0">
    <w:nsid w:val="7FCB539F"/>
    <w:multiLevelType w:val="hybridMultilevel"/>
    <w:tmpl w:val="A86EEFAE"/>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num w:numId="1">
    <w:abstractNumId w:val="17"/>
  </w:num>
  <w:num w:numId="2">
    <w:abstractNumId w:val="35"/>
  </w:num>
  <w:num w:numId="3">
    <w:abstractNumId w:val="33"/>
  </w:num>
  <w:num w:numId="4">
    <w:abstractNumId w:val="10"/>
  </w:num>
  <w:num w:numId="5">
    <w:abstractNumId w:val="0"/>
  </w:num>
  <w:num w:numId="6">
    <w:abstractNumId w:val="27"/>
  </w:num>
  <w:num w:numId="7">
    <w:abstractNumId w:val="3"/>
  </w:num>
  <w:num w:numId="8">
    <w:abstractNumId w:val="15"/>
  </w:num>
  <w:num w:numId="9">
    <w:abstractNumId w:val="28"/>
  </w:num>
  <w:num w:numId="10">
    <w:abstractNumId w:val="37"/>
  </w:num>
  <w:num w:numId="11">
    <w:abstractNumId w:val="9"/>
  </w:num>
  <w:num w:numId="12">
    <w:abstractNumId w:val="22"/>
  </w:num>
  <w:num w:numId="13">
    <w:abstractNumId w:val="25"/>
  </w:num>
  <w:num w:numId="14">
    <w:abstractNumId w:val="34"/>
  </w:num>
  <w:num w:numId="15">
    <w:abstractNumId w:val="26"/>
  </w:num>
  <w:num w:numId="16">
    <w:abstractNumId w:val="11"/>
  </w:num>
  <w:num w:numId="17">
    <w:abstractNumId w:val="7"/>
  </w:num>
  <w:num w:numId="18">
    <w:abstractNumId w:val="20"/>
  </w:num>
  <w:num w:numId="19">
    <w:abstractNumId w:val="6"/>
  </w:num>
  <w:num w:numId="20">
    <w:abstractNumId w:val="31"/>
  </w:num>
  <w:num w:numId="21">
    <w:abstractNumId w:val="32"/>
  </w:num>
  <w:num w:numId="22">
    <w:abstractNumId w:val="29"/>
  </w:num>
  <w:num w:numId="23">
    <w:abstractNumId w:val="18"/>
  </w:num>
  <w:num w:numId="24">
    <w:abstractNumId w:val="36"/>
  </w:num>
  <w:num w:numId="25">
    <w:abstractNumId w:val="19"/>
  </w:num>
  <w:num w:numId="26">
    <w:abstractNumId w:val="16"/>
  </w:num>
  <w:num w:numId="27">
    <w:abstractNumId w:val="1"/>
  </w:num>
  <w:num w:numId="28">
    <w:abstractNumId w:val="14"/>
  </w:num>
  <w:num w:numId="29">
    <w:abstractNumId w:val="4"/>
  </w:num>
  <w:num w:numId="30">
    <w:abstractNumId w:val="2"/>
  </w:num>
  <w:num w:numId="31">
    <w:abstractNumId w:val="5"/>
  </w:num>
  <w:num w:numId="32">
    <w:abstractNumId w:val="30"/>
  </w:num>
  <w:num w:numId="33">
    <w:abstractNumId w:val="13"/>
  </w:num>
  <w:num w:numId="34">
    <w:abstractNumId w:val="12"/>
  </w:num>
  <w:num w:numId="35">
    <w:abstractNumId w:val="21"/>
  </w:num>
  <w:num w:numId="36">
    <w:abstractNumId w:val="24"/>
  </w:num>
  <w:num w:numId="37">
    <w:abstractNumId w:val="2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ED"/>
    <w:rsid w:val="000003EE"/>
    <w:rsid w:val="00002445"/>
    <w:rsid w:val="000040E8"/>
    <w:rsid w:val="00011831"/>
    <w:rsid w:val="00011BA5"/>
    <w:rsid w:val="000158B6"/>
    <w:rsid w:val="00016941"/>
    <w:rsid w:val="00022295"/>
    <w:rsid w:val="00023521"/>
    <w:rsid w:val="000257B3"/>
    <w:rsid w:val="00026EE1"/>
    <w:rsid w:val="00027B07"/>
    <w:rsid w:val="00030A8B"/>
    <w:rsid w:val="00031227"/>
    <w:rsid w:val="000317EF"/>
    <w:rsid w:val="000342D6"/>
    <w:rsid w:val="00035904"/>
    <w:rsid w:val="00036CDF"/>
    <w:rsid w:val="00037F85"/>
    <w:rsid w:val="0004141C"/>
    <w:rsid w:val="00042F82"/>
    <w:rsid w:val="00046D66"/>
    <w:rsid w:val="00047A93"/>
    <w:rsid w:val="00051683"/>
    <w:rsid w:val="00053A0F"/>
    <w:rsid w:val="000542B7"/>
    <w:rsid w:val="00055C8C"/>
    <w:rsid w:val="00057281"/>
    <w:rsid w:val="00057508"/>
    <w:rsid w:val="00060DBD"/>
    <w:rsid w:val="0006139B"/>
    <w:rsid w:val="00061EB5"/>
    <w:rsid w:val="00064DDB"/>
    <w:rsid w:val="000663BD"/>
    <w:rsid w:val="00067B00"/>
    <w:rsid w:val="00072641"/>
    <w:rsid w:val="00080852"/>
    <w:rsid w:val="00081BD0"/>
    <w:rsid w:val="00085F9A"/>
    <w:rsid w:val="00091973"/>
    <w:rsid w:val="000A1F07"/>
    <w:rsid w:val="000A28E9"/>
    <w:rsid w:val="000A353A"/>
    <w:rsid w:val="000A7929"/>
    <w:rsid w:val="000A7D28"/>
    <w:rsid w:val="000B2138"/>
    <w:rsid w:val="000B3D6B"/>
    <w:rsid w:val="000B5664"/>
    <w:rsid w:val="000C15D8"/>
    <w:rsid w:val="000C2564"/>
    <w:rsid w:val="000C5650"/>
    <w:rsid w:val="000C63E4"/>
    <w:rsid w:val="000C7372"/>
    <w:rsid w:val="000C7E54"/>
    <w:rsid w:val="000D2D81"/>
    <w:rsid w:val="000D505C"/>
    <w:rsid w:val="000E0E09"/>
    <w:rsid w:val="000E1706"/>
    <w:rsid w:val="000E1D96"/>
    <w:rsid w:val="000E28F2"/>
    <w:rsid w:val="000E3D00"/>
    <w:rsid w:val="000E626C"/>
    <w:rsid w:val="000E6AD7"/>
    <w:rsid w:val="000F0774"/>
    <w:rsid w:val="000F597C"/>
    <w:rsid w:val="000F790D"/>
    <w:rsid w:val="00101766"/>
    <w:rsid w:val="00102606"/>
    <w:rsid w:val="0010359B"/>
    <w:rsid w:val="00104AC5"/>
    <w:rsid w:val="00111446"/>
    <w:rsid w:val="00121CB4"/>
    <w:rsid w:val="00123531"/>
    <w:rsid w:val="00124191"/>
    <w:rsid w:val="00124AFE"/>
    <w:rsid w:val="00126549"/>
    <w:rsid w:val="00134006"/>
    <w:rsid w:val="00141D4A"/>
    <w:rsid w:val="00142A4F"/>
    <w:rsid w:val="00152FA3"/>
    <w:rsid w:val="00154F33"/>
    <w:rsid w:val="00163F28"/>
    <w:rsid w:val="00164DB9"/>
    <w:rsid w:val="00165BB5"/>
    <w:rsid w:val="0016717C"/>
    <w:rsid w:val="00171662"/>
    <w:rsid w:val="00171AAF"/>
    <w:rsid w:val="00171BC4"/>
    <w:rsid w:val="00173212"/>
    <w:rsid w:val="00173ADB"/>
    <w:rsid w:val="00177B45"/>
    <w:rsid w:val="001805FC"/>
    <w:rsid w:val="001807C4"/>
    <w:rsid w:val="0018759F"/>
    <w:rsid w:val="0019781D"/>
    <w:rsid w:val="00197BCE"/>
    <w:rsid w:val="001A3037"/>
    <w:rsid w:val="001B296C"/>
    <w:rsid w:val="001B6EF0"/>
    <w:rsid w:val="001C0FD8"/>
    <w:rsid w:val="001C66F6"/>
    <w:rsid w:val="001D4313"/>
    <w:rsid w:val="001E5230"/>
    <w:rsid w:val="001E68B8"/>
    <w:rsid w:val="001E6FC9"/>
    <w:rsid w:val="001E7F52"/>
    <w:rsid w:val="001F1948"/>
    <w:rsid w:val="001F1CC5"/>
    <w:rsid w:val="001F499D"/>
    <w:rsid w:val="0020301C"/>
    <w:rsid w:val="0020583E"/>
    <w:rsid w:val="0020593F"/>
    <w:rsid w:val="00212FBB"/>
    <w:rsid w:val="00213BDF"/>
    <w:rsid w:val="00217E7E"/>
    <w:rsid w:val="00221671"/>
    <w:rsid w:val="00231DF4"/>
    <w:rsid w:val="00233B19"/>
    <w:rsid w:val="00240571"/>
    <w:rsid w:val="002433BD"/>
    <w:rsid w:val="00243BB3"/>
    <w:rsid w:val="002472D2"/>
    <w:rsid w:val="002505FB"/>
    <w:rsid w:val="002515F0"/>
    <w:rsid w:val="00251EDD"/>
    <w:rsid w:val="00254955"/>
    <w:rsid w:val="00255385"/>
    <w:rsid w:val="00256AEE"/>
    <w:rsid w:val="002604B5"/>
    <w:rsid w:val="00263AF0"/>
    <w:rsid w:val="0026427B"/>
    <w:rsid w:val="00270200"/>
    <w:rsid w:val="00270293"/>
    <w:rsid w:val="00270D83"/>
    <w:rsid w:val="00271834"/>
    <w:rsid w:val="00274F96"/>
    <w:rsid w:val="00276101"/>
    <w:rsid w:val="002804CB"/>
    <w:rsid w:val="00280684"/>
    <w:rsid w:val="0028129B"/>
    <w:rsid w:val="0028298E"/>
    <w:rsid w:val="00282A8D"/>
    <w:rsid w:val="0028515A"/>
    <w:rsid w:val="002912F3"/>
    <w:rsid w:val="00291A62"/>
    <w:rsid w:val="002923AE"/>
    <w:rsid w:val="00296C43"/>
    <w:rsid w:val="002970DE"/>
    <w:rsid w:val="002A58FC"/>
    <w:rsid w:val="002A5DE8"/>
    <w:rsid w:val="002B01D1"/>
    <w:rsid w:val="002B6CE6"/>
    <w:rsid w:val="002C11DE"/>
    <w:rsid w:val="002C5E86"/>
    <w:rsid w:val="002D2B3B"/>
    <w:rsid w:val="002D603F"/>
    <w:rsid w:val="002E32BC"/>
    <w:rsid w:val="002E3E29"/>
    <w:rsid w:val="002F5F48"/>
    <w:rsid w:val="002F7C33"/>
    <w:rsid w:val="0030313F"/>
    <w:rsid w:val="003050E2"/>
    <w:rsid w:val="00307668"/>
    <w:rsid w:val="00313C44"/>
    <w:rsid w:val="00315A71"/>
    <w:rsid w:val="00315A86"/>
    <w:rsid w:val="00317ABD"/>
    <w:rsid w:val="003262C7"/>
    <w:rsid w:val="00326447"/>
    <w:rsid w:val="0033001C"/>
    <w:rsid w:val="0033037D"/>
    <w:rsid w:val="00331875"/>
    <w:rsid w:val="0033220D"/>
    <w:rsid w:val="003327DD"/>
    <w:rsid w:val="00332C54"/>
    <w:rsid w:val="00342EF5"/>
    <w:rsid w:val="00352FAF"/>
    <w:rsid w:val="00353896"/>
    <w:rsid w:val="00354034"/>
    <w:rsid w:val="00354098"/>
    <w:rsid w:val="0035488A"/>
    <w:rsid w:val="00362A76"/>
    <w:rsid w:val="00362BC1"/>
    <w:rsid w:val="003630FC"/>
    <w:rsid w:val="0036345B"/>
    <w:rsid w:val="00363A2C"/>
    <w:rsid w:val="00364FC3"/>
    <w:rsid w:val="00365777"/>
    <w:rsid w:val="00366DA3"/>
    <w:rsid w:val="003735FD"/>
    <w:rsid w:val="00381BCC"/>
    <w:rsid w:val="003821AA"/>
    <w:rsid w:val="00383D4B"/>
    <w:rsid w:val="0038614D"/>
    <w:rsid w:val="00395060"/>
    <w:rsid w:val="003965FA"/>
    <w:rsid w:val="003B16C5"/>
    <w:rsid w:val="003B6F06"/>
    <w:rsid w:val="003C058D"/>
    <w:rsid w:val="003C099C"/>
    <w:rsid w:val="003C528C"/>
    <w:rsid w:val="003C65F7"/>
    <w:rsid w:val="003D0AEB"/>
    <w:rsid w:val="003D1413"/>
    <w:rsid w:val="003E0FEF"/>
    <w:rsid w:val="003E2C56"/>
    <w:rsid w:val="003E3DD2"/>
    <w:rsid w:val="003E715B"/>
    <w:rsid w:val="003E770A"/>
    <w:rsid w:val="003F1740"/>
    <w:rsid w:val="0040066E"/>
    <w:rsid w:val="0040161B"/>
    <w:rsid w:val="0040211F"/>
    <w:rsid w:val="00403979"/>
    <w:rsid w:val="0040414F"/>
    <w:rsid w:val="004058CE"/>
    <w:rsid w:val="00422F36"/>
    <w:rsid w:val="0043003C"/>
    <w:rsid w:val="00433422"/>
    <w:rsid w:val="004405A9"/>
    <w:rsid w:val="00443CBB"/>
    <w:rsid w:val="00444E50"/>
    <w:rsid w:val="0044504B"/>
    <w:rsid w:val="00452167"/>
    <w:rsid w:val="0045257F"/>
    <w:rsid w:val="00452BFD"/>
    <w:rsid w:val="0045426D"/>
    <w:rsid w:val="0045775B"/>
    <w:rsid w:val="0046293C"/>
    <w:rsid w:val="004642F1"/>
    <w:rsid w:val="00466A77"/>
    <w:rsid w:val="00477D1C"/>
    <w:rsid w:val="00482BD8"/>
    <w:rsid w:val="00484BC1"/>
    <w:rsid w:val="00485EBC"/>
    <w:rsid w:val="00487215"/>
    <w:rsid w:val="0048760C"/>
    <w:rsid w:val="0049052D"/>
    <w:rsid w:val="0049548B"/>
    <w:rsid w:val="00497F0B"/>
    <w:rsid w:val="004A164A"/>
    <w:rsid w:val="004A56E8"/>
    <w:rsid w:val="004A5BB8"/>
    <w:rsid w:val="004A5E92"/>
    <w:rsid w:val="004A6834"/>
    <w:rsid w:val="004A7DAB"/>
    <w:rsid w:val="004B0317"/>
    <w:rsid w:val="004B3AFE"/>
    <w:rsid w:val="004C2082"/>
    <w:rsid w:val="004C7A24"/>
    <w:rsid w:val="004C7CBC"/>
    <w:rsid w:val="004D1348"/>
    <w:rsid w:val="004D1996"/>
    <w:rsid w:val="004D4921"/>
    <w:rsid w:val="004D506D"/>
    <w:rsid w:val="004D5306"/>
    <w:rsid w:val="004D55A6"/>
    <w:rsid w:val="004E35DA"/>
    <w:rsid w:val="004E38CC"/>
    <w:rsid w:val="004F0897"/>
    <w:rsid w:val="00500AE6"/>
    <w:rsid w:val="00500D36"/>
    <w:rsid w:val="0050309E"/>
    <w:rsid w:val="00504BDA"/>
    <w:rsid w:val="00514195"/>
    <w:rsid w:val="0052195A"/>
    <w:rsid w:val="005317E2"/>
    <w:rsid w:val="005322FD"/>
    <w:rsid w:val="00533707"/>
    <w:rsid w:val="005363F5"/>
    <w:rsid w:val="00537633"/>
    <w:rsid w:val="00537748"/>
    <w:rsid w:val="00540676"/>
    <w:rsid w:val="00546730"/>
    <w:rsid w:val="00557356"/>
    <w:rsid w:val="0056040F"/>
    <w:rsid w:val="00571A5B"/>
    <w:rsid w:val="00572469"/>
    <w:rsid w:val="005734E1"/>
    <w:rsid w:val="00574627"/>
    <w:rsid w:val="0057514B"/>
    <w:rsid w:val="00576036"/>
    <w:rsid w:val="00582A2E"/>
    <w:rsid w:val="005860AE"/>
    <w:rsid w:val="00591B43"/>
    <w:rsid w:val="00595CE5"/>
    <w:rsid w:val="005962CE"/>
    <w:rsid w:val="00596798"/>
    <w:rsid w:val="005A0ED8"/>
    <w:rsid w:val="005A4B52"/>
    <w:rsid w:val="005A7027"/>
    <w:rsid w:val="005B088C"/>
    <w:rsid w:val="005B152D"/>
    <w:rsid w:val="005B2F4D"/>
    <w:rsid w:val="005C46CE"/>
    <w:rsid w:val="005D3CA9"/>
    <w:rsid w:val="005D4791"/>
    <w:rsid w:val="005D50B6"/>
    <w:rsid w:val="005E7EA1"/>
    <w:rsid w:val="005F4E22"/>
    <w:rsid w:val="005F5EAC"/>
    <w:rsid w:val="005F7568"/>
    <w:rsid w:val="005F7CE7"/>
    <w:rsid w:val="00602936"/>
    <w:rsid w:val="00611F32"/>
    <w:rsid w:val="00613B03"/>
    <w:rsid w:val="006238A2"/>
    <w:rsid w:val="00624793"/>
    <w:rsid w:val="006253BD"/>
    <w:rsid w:val="0062650F"/>
    <w:rsid w:val="00627EEA"/>
    <w:rsid w:val="0063304D"/>
    <w:rsid w:val="00636EAF"/>
    <w:rsid w:val="00641EF1"/>
    <w:rsid w:val="0064248F"/>
    <w:rsid w:val="0064340E"/>
    <w:rsid w:val="00643965"/>
    <w:rsid w:val="006445C1"/>
    <w:rsid w:val="006507FC"/>
    <w:rsid w:val="00650952"/>
    <w:rsid w:val="00650E53"/>
    <w:rsid w:val="0065499B"/>
    <w:rsid w:val="00655A6A"/>
    <w:rsid w:val="006573B7"/>
    <w:rsid w:val="006620F7"/>
    <w:rsid w:val="00662758"/>
    <w:rsid w:val="00671BDB"/>
    <w:rsid w:val="00672DE7"/>
    <w:rsid w:val="00672E81"/>
    <w:rsid w:val="00673E70"/>
    <w:rsid w:val="00675EED"/>
    <w:rsid w:val="006809ED"/>
    <w:rsid w:val="00685CA8"/>
    <w:rsid w:val="00686039"/>
    <w:rsid w:val="006901CF"/>
    <w:rsid w:val="00692B8C"/>
    <w:rsid w:val="006934D8"/>
    <w:rsid w:val="006942ED"/>
    <w:rsid w:val="006A0290"/>
    <w:rsid w:val="006A0D82"/>
    <w:rsid w:val="006A44BF"/>
    <w:rsid w:val="006A44D4"/>
    <w:rsid w:val="006A664B"/>
    <w:rsid w:val="006B007A"/>
    <w:rsid w:val="006B5C0C"/>
    <w:rsid w:val="006B71C4"/>
    <w:rsid w:val="006B7AD9"/>
    <w:rsid w:val="006B7D97"/>
    <w:rsid w:val="006C404E"/>
    <w:rsid w:val="006C4F18"/>
    <w:rsid w:val="006C7C88"/>
    <w:rsid w:val="006D07CB"/>
    <w:rsid w:val="006D07E7"/>
    <w:rsid w:val="006D0E67"/>
    <w:rsid w:val="006D2915"/>
    <w:rsid w:val="006D2A54"/>
    <w:rsid w:val="006D3444"/>
    <w:rsid w:val="006D5A39"/>
    <w:rsid w:val="006D5FAE"/>
    <w:rsid w:val="006E5F8D"/>
    <w:rsid w:val="006E7905"/>
    <w:rsid w:val="006F0F60"/>
    <w:rsid w:val="006F1A06"/>
    <w:rsid w:val="006F2EFB"/>
    <w:rsid w:val="00703AB2"/>
    <w:rsid w:val="00703D14"/>
    <w:rsid w:val="00705C9E"/>
    <w:rsid w:val="00711A9E"/>
    <w:rsid w:val="007131FF"/>
    <w:rsid w:val="00726028"/>
    <w:rsid w:val="0072721C"/>
    <w:rsid w:val="00727626"/>
    <w:rsid w:val="0073136C"/>
    <w:rsid w:val="00734DA3"/>
    <w:rsid w:val="0073504B"/>
    <w:rsid w:val="007375C5"/>
    <w:rsid w:val="00743C98"/>
    <w:rsid w:val="00745D4B"/>
    <w:rsid w:val="0074725A"/>
    <w:rsid w:val="00753252"/>
    <w:rsid w:val="0075446C"/>
    <w:rsid w:val="00756807"/>
    <w:rsid w:val="00760508"/>
    <w:rsid w:val="0076580F"/>
    <w:rsid w:val="0076694D"/>
    <w:rsid w:val="00770B76"/>
    <w:rsid w:val="00772878"/>
    <w:rsid w:val="00772D81"/>
    <w:rsid w:val="00777CDE"/>
    <w:rsid w:val="00780004"/>
    <w:rsid w:val="00780957"/>
    <w:rsid w:val="00780AF7"/>
    <w:rsid w:val="00781AD9"/>
    <w:rsid w:val="007856A8"/>
    <w:rsid w:val="0079196F"/>
    <w:rsid w:val="00793239"/>
    <w:rsid w:val="00797904"/>
    <w:rsid w:val="007A1B2C"/>
    <w:rsid w:val="007A25DE"/>
    <w:rsid w:val="007A3905"/>
    <w:rsid w:val="007A68D0"/>
    <w:rsid w:val="007B17A4"/>
    <w:rsid w:val="007B326D"/>
    <w:rsid w:val="007B4D3F"/>
    <w:rsid w:val="007C0A04"/>
    <w:rsid w:val="007C39FA"/>
    <w:rsid w:val="007C4A7E"/>
    <w:rsid w:val="007C7605"/>
    <w:rsid w:val="007D044D"/>
    <w:rsid w:val="007D6262"/>
    <w:rsid w:val="007E05B8"/>
    <w:rsid w:val="007E18F3"/>
    <w:rsid w:val="007E2F94"/>
    <w:rsid w:val="007E51A3"/>
    <w:rsid w:val="007E6578"/>
    <w:rsid w:val="007F15C3"/>
    <w:rsid w:val="007F213E"/>
    <w:rsid w:val="007F33DA"/>
    <w:rsid w:val="008038FC"/>
    <w:rsid w:val="00813F9E"/>
    <w:rsid w:val="00815600"/>
    <w:rsid w:val="00816F7E"/>
    <w:rsid w:val="00826D83"/>
    <w:rsid w:val="00834A7C"/>
    <w:rsid w:val="0083519C"/>
    <w:rsid w:val="00840512"/>
    <w:rsid w:val="008406E0"/>
    <w:rsid w:val="00840D93"/>
    <w:rsid w:val="008412A2"/>
    <w:rsid w:val="00843480"/>
    <w:rsid w:val="00845429"/>
    <w:rsid w:val="00845742"/>
    <w:rsid w:val="00847091"/>
    <w:rsid w:val="00851B91"/>
    <w:rsid w:val="0085319D"/>
    <w:rsid w:val="00853E40"/>
    <w:rsid w:val="008574D4"/>
    <w:rsid w:val="00861586"/>
    <w:rsid w:val="00862402"/>
    <w:rsid w:val="00862843"/>
    <w:rsid w:val="00863D81"/>
    <w:rsid w:val="00867031"/>
    <w:rsid w:val="00867FBB"/>
    <w:rsid w:val="008704B2"/>
    <w:rsid w:val="00872914"/>
    <w:rsid w:val="008739D0"/>
    <w:rsid w:val="0087537E"/>
    <w:rsid w:val="00875BAE"/>
    <w:rsid w:val="00881BBE"/>
    <w:rsid w:val="00887293"/>
    <w:rsid w:val="008907CE"/>
    <w:rsid w:val="00894991"/>
    <w:rsid w:val="008A49C6"/>
    <w:rsid w:val="008A4D74"/>
    <w:rsid w:val="008A5E01"/>
    <w:rsid w:val="008A7394"/>
    <w:rsid w:val="008C20BD"/>
    <w:rsid w:val="008C445E"/>
    <w:rsid w:val="008C5217"/>
    <w:rsid w:val="008C5739"/>
    <w:rsid w:val="008C5FAD"/>
    <w:rsid w:val="008D413D"/>
    <w:rsid w:val="008E0862"/>
    <w:rsid w:val="008E0F6C"/>
    <w:rsid w:val="008E3C77"/>
    <w:rsid w:val="008F52F3"/>
    <w:rsid w:val="008F59A4"/>
    <w:rsid w:val="00903A08"/>
    <w:rsid w:val="0090738B"/>
    <w:rsid w:val="00910957"/>
    <w:rsid w:val="009122D2"/>
    <w:rsid w:val="00914D61"/>
    <w:rsid w:val="00917F0D"/>
    <w:rsid w:val="009220E2"/>
    <w:rsid w:val="00923853"/>
    <w:rsid w:val="00930DF0"/>
    <w:rsid w:val="00930EA8"/>
    <w:rsid w:val="00932FE0"/>
    <w:rsid w:val="00944D10"/>
    <w:rsid w:val="00945D65"/>
    <w:rsid w:val="009465AF"/>
    <w:rsid w:val="00951637"/>
    <w:rsid w:val="00952EC9"/>
    <w:rsid w:val="00956D9E"/>
    <w:rsid w:val="009637D1"/>
    <w:rsid w:val="00965787"/>
    <w:rsid w:val="00966ED5"/>
    <w:rsid w:val="00972032"/>
    <w:rsid w:val="00972A97"/>
    <w:rsid w:val="00973966"/>
    <w:rsid w:val="0097449E"/>
    <w:rsid w:val="00974E79"/>
    <w:rsid w:val="00981710"/>
    <w:rsid w:val="009825D1"/>
    <w:rsid w:val="009827E4"/>
    <w:rsid w:val="009863A9"/>
    <w:rsid w:val="009870FF"/>
    <w:rsid w:val="0099296D"/>
    <w:rsid w:val="00994823"/>
    <w:rsid w:val="009A7E0C"/>
    <w:rsid w:val="009B16D1"/>
    <w:rsid w:val="009C16B9"/>
    <w:rsid w:val="009C24F0"/>
    <w:rsid w:val="009C4F06"/>
    <w:rsid w:val="009C539F"/>
    <w:rsid w:val="009D03B3"/>
    <w:rsid w:val="009D24CB"/>
    <w:rsid w:val="009D4212"/>
    <w:rsid w:val="009D7D24"/>
    <w:rsid w:val="009E1E36"/>
    <w:rsid w:val="009E29C1"/>
    <w:rsid w:val="009E3B71"/>
    <w:rsid w:val="009E4B86"/>
    <w:rsid w:val="009F38AB"/>
    <w:rsid w:val="009F4EF8"/>
    <w:rsid w:val="00A02D28"/>
    <w:rsid w:val="00A059B9"/>
    <w:rsid w:val="00A07EEC"/>
    <w:rsid w:val="00A116C7"/>
    <w:rsid w:val="00A11CEE"/>
    <w:rsid w:val="00A15A7E"/>
    <w:rsid w:val="00A1634B"/>
    <w:rsid w:val="00A166D8"/>
    <w:rsid w:val="00A20D0F"/>
    <w:rsid w:val="00A311E7"/>
    <w:rsid w:val="00A31FDD"/>
    <w:rsid w:val="00A34FFE"/>
    <w:rsid w:val="00A36A0E"/>
    <w:rsid w:val="00A37B20"/>
    <w:rsid w:val="00A40553"/>
    <w:rsid w:val="00A52050"/>
    <w:rsid w:val="00A56732"/>
    <w:rsid w:val="00A56EE6"/>
    <w:rsid w:val="00A600EC"/>
    <w:rsid w:val="00A674E6"/>
    <w:rsid w:val="00A74F17"/>
    <w:rsid w:val="00A8077C"/>
    <w:rsid w:val="00A80A93"/>
    <w:rsid w:val="00A81465"/>
    <w:rsid w:val="00A831AC"/>
    <w:rsid w:val="00A83E40"/>
    <w:rsid w:val="00A84AEA"/>
    <w:rsid w:val="00A85399"/>
    <w:rsid w:val="00A85934"/>
    <w:rsid w:val="00A85B4F"/>
    <w:rsid w:val="00A8717F"/>
    <w:rsid w:val="00A90AD6"/>
    <w:rsid w:val="00A91C78"/>
    <w:rsid w:val="00A92439"/>
    <w:rsid w:val="00A924F8"/>
    <w:rsid w:val="00A93B9E"/>
    <w:rsid w:val="00A973E9"/>
    <w:rsid w:val="00AA1991"/>
    <w:rsid w:val="00AB0A70"/>
    <w:rsid w:val="00AB0AE8"/>
    <w:rsid w:val="00AB1475"/>
    <w:rsid w:val="00AB23FD"/>
    <w:rsid w:val="00AC6B00"/>
    <w:rsid w:val="00AD33CD"/>
    <w:rsid w:val="00AD4D97"/>
    <w:rsid w:val="00AD5BCF"/>
    <w:rsid w:val="00AE0869"/>
    <w:rsid w:val="00AE3E0A"/>
    <w:rsid w:val="00AF1C70"/>
    <w:rsid w:val="00AF26FB"/>
    <w:rsid w:val="00AF4D53"/>
    <w:rsid w:val="00AF7E0B"/>
    <w:rsid w:val="00B00995"/>
    <w:rsid w:val="00B044CC"/>
    <w:rsid w:val="00B14518"/>
    <w:rsid w:val="00B20FE0"/>
    <w:rsid w:val="00B27D5A"/>
    <w:rsid w:val="00B34097"/>
    <w:rsid w:val="00B345E3"/>
    <w:rsid w:val="00B374AB"/>
    <w:rsid w:val="00B436FB"/>
    <w:rsid w:val="00B44FFC"/>
    <w:rsid w:val="00B52EE7"/>
    <w:rsid w:val="00B52F69"/>
    <w:rsid w:val="00B606EA"/>
    <w:rsid w:val="00B6133D"/>
    <w:rsid w:val="00B626CD"/>
    <w:rsid w:val="00B647BC"/>
    <w:rsid w:val="00B65225"/>
    <w:rsid w:val="00B72750"/>
    <w:rsid w:val="00B74953"/>
    <w:rsid w:val="00B75698"/>
    <w:rsid w:val="00B80C2D"/>
    <w:rsid w:val="00B85079"/>
    <w:rsid w:val="00B857EE"/>
    <w:rsid w:val="00B870CA"/>
    <w:rsid w:val="00B91BF2"/>
    <w:rsid w:val="00B92A76"/>
    <w:rsid w:val="00B941E1"/>
    <w:rsid w:val="00B96EF3"/>
    <w:rsid w:val="00B97128"/>
    <w:rsid w:val="00BA4F4E"/>
    <w:rsid w:val="00BA69CF"/>
    <w:rsid w:val="00BA707C"/>
    <w:rsid w:val="00BB0D61"/>
    <w:rsid w:val="00BB2367"/>
    <w:rsid w:val="00BB29EF"/>
    <w:rsid w:val="00BB3DA7"/>
    <w:rsid w:val="00BB5106"/>
    <w:rsid w:val="00BB7F5D"/>
    <w:rsid w:val="00BC0560"/>
    <w:rsid w:val="00BC31F1"/>
    <w:rsid w:val="00BC6CA8"/>
    <w:rsid w:val="00BC7DBA"/>
    <w:rsid w:val="00BD0BFC"/>
    <w:rsid w:val="00BE25D5"/>
    <w:rsid w:val="00BE2F83"/>
    <w:rsid w:val="00BE48E4"/>
    <w:rsid w:val="00BE5F15"/>
    <w:rsid w:val="00C023AF"/>
    <w:rsid w:val="00C0450D"/>
    <w:rsid w:val="00C04AE9"/>
    <w:rsid w:val="00C208F5"/>
    <w:rsid w:val="00C214E6"/>
    <w:rsid w:val="00C219A8"/>
    <w:rsid w:val="00C21FFA"/>
    <w:rsid w:val="00C231C3"/>
    <w:rsid w:val="00C24924"/>
    <w:rsid w:val="00C254D0"/>
    <w:rsid w:val="00C3231E"/>
    <w:rsid w:val="00C34027"/>
    <w:rsid w:val="00C342AF"/>
    <w:rsid w:val="00C41AFB"/>
    <w:rsid w:val="00C55C21"/>
    <w:rsid w:val="00C57485"/>
    <w:rsid w:val="00C57DB4"/>
    <w:rsid w:val="00C61757"/>
    <w:rsid w:val="00C63C9B"/>
    <w:rsid w:val="00C66166"/>
    <w:rsid w:val="00C67DB3"/>
    <w:rsid w:val="00C75984"/>
    <w:rsid w:val="00C75BC5"/>
    <w:rsid w:val="00C81BFB"/>
    <w:rsid w:val="00C82B84"/>
    <w:rsid w:val="00C94399"/>
    <w:rsid w:val="00C95A9F"/>
    <w:rsid w:val="00CA01EB"/>
    <w:rsid w:val="00CA0B70"/>
    <w:rsid w:val="00CA3C1C"/>
    <w:rsid w:val="00CA6ABA"/>
    <w:rsid w:val="00CB2766"/>
    <w:rsid w:val="00CC0927"/>
    <w:rsid w:val="00CC1A8D"/>
    <w:rsid w:val="00CC3543"/>
    <w:rsid w:val="00CD4019"/>
    <w:rsid w:val="00CD5AC3"/>
    <w:rsid w:val="00CE03CD"/>
    <w:rsid w:val="00CE278D"/>
    <w:rsid w:val="00CE4A7F"/>
    <w:rsid w:val="00CE5A28"/>
    <w:rsid w:val="00CF121A"/>
    <w:rsid w:val="00CF38D4"/>
    <w:rsid w:val="00CF7709"/>
    <w:rsid w:val="00D009BB"/>
    <w:rsid w:val="00D0158C"/>
    <w:rsid w:val="00D020A3"/>
    <w:rsid w:val="00D027D7"/>
    <w:rsid w:val="00D10333"/>
    <w:rsid w:val="00D11DD1"/>
    <w:rsid w:val="00D13AEE"/>
    <w:rsid w:val="00D26257"/>
    <w:rsid w:val="00D308CA"/>
    <w:rsid w:val="00D3182C"/>
    <w:rsid w:val="00D35293"/>
    <w:rsid w:val="00D357B5"/>
    <w:rsid w:val="00D46E8C"/>
    <w:rsid w:val="00D51091"/>
    <w:rsid w:val="00D53CE9"/>
    <w:rsid w:val="00D64304"/>
    <w:rsid w:val="00D65299"/>
    <w:rsid w:val="00D80006"/>
    <w:rsid w:val="00D86803"/>
    <w:rsid w:val="00D9230A"/>
    <w:rsid w:val="00D9446E"/>
    <w:rsid w:val="00D95386"/>
    <w:rsid w:val="00D97F75"/>
    <w:rsid w:val="00DA0183"/>
    <w:rsid w:val="00DA0322"/>
    <w:rsid w:val="00DA1B27"/>
    <w:rsid w:val="00DA1C07"/>
    <w:rsid w:val="00DA2601"/>
    <w:rsid w:val="00DA2912"/>
    <w:rsid w:val="00DB124D"/>
    <w:rsid w:val="00DB2657"/>
    <w:rsid w:val="00DB6EB6"/>
    <w:rsid w:val="00DC287F"/>
    <w:rsid w:val="00DC5012"/>
    <w:rsid w:val="00DE18CF"/>
    <w:rsid w:val="00DE48DC"/>
    <w:rsid w:val="00DF4293"/>
    <w:rsid w:val="00DF459E"/>
    <w:rsid w:val="00DF4AD7"/>
    <w:rsid w:val="00DF7B7C"/>
    <w:rsid w:val="00E0332D"/>
    <w:rsid w:val="00E04915"/>
    <w:rsid w:val="00E07A0F"/>
    <w:rsid w:val="00E07B5E"/>
    <w:rsid w:val="00E13182"/>
    <w:rsid w:val="00E21292"/>
    <w:rsid w:val="00E22BD2"/>
    <w:rsid w:val="00E2441C"/>
    <w:rsid w:val="00E300CD"/>
    <w:rsid w:val="00E33B81"/>
    <w:rsid w:val="00E3580E"/>
    <w:rsid w:val="00E37646"/>
    <w:rsid w:val="00E445DA"/>
    <w:rsid w:val="00E536D4"/>
    <w:rsid w:val="00E63406"/>
    <w:rsid w:val="00E66BBF"/>
    <w:rsid w:val="00E74DD2"/>
    <w:rsid w:val="00E8445D"/>
    <w:rsid w:val="00E849F5"/>
    <w:rsid w:val="00E91F6B"/>
    <w:rsid w:val="00E925F8"/>
    <w:rsid w:val="00EA0F11"/>
    <w:rsid w:val="00EA4ABB"/>
    <w:rsid w:val="00EA5133"/>
    <w:rsid w:val="00EC0947"/>
    <w:rsid w:val="00EC1957"/>
    <w:rsid w:val="00EC4E21"/>
    <w:rsid w:val="00ED0BA9"/>
    <w:rsid w:val="00ED2F77"/>
    <w:rsid w:val="00ED4847"/>
    <w:rsid w:val="00ED6411"/>
    <w:rsid w:val="00EE0F9C"/>
    <w:rsid w:val="00EE13E0"/>
    <w:rsid w:val="00EE47AA"/>
    <w:rsid w:val="00EE6513"/>
    <w:rsid w:val="00EE7920"/>
    <w:rsid w:val="00EF6B95"/>
    <w:rsid w:val="00EF6FCF"/>
    <w:rsid w:val="00F0200C"/>
    <w:rsid w:val="00F03BDA"/>
    <w:rsid w:val="00F069D9"/>
    <w:rsid w:val="00F073BF"/>
    <w:rsid w:val="00F12FB1"/>
    <w:rsid w:val="00F138AD"/>
    <w:rsid w:val="00F15890"/>
    <w:rsid w:val="00F17B57"/>
    <w:rsid w:val="00F25F43"/>
    <w:rsid w:val="00F25FD5"/>
    <w:rsid w:val="00F27957"/>
    <w:rsid w:val="00F31B86"/>
    <w:rsid w:val="00F374BC"/>
    <w:rsid w:val="00F44A8B"/>
    <w:rsid w:val="00F50C89"/>
    <w:rsid w:val="00F51D1D"/>
    <w:rsid w:val="00F52A47"/>
    <w:rsid w:val="00F54340"/>
    <w:rsid w:val="00F562AE"/>
    <w:rsid w:val="00F6140A"/>
    <w:rsid w:val="00F6608B"/>
    <w:rsid w:val="00F667FE"/>
    <w:rsid w:val="00F7062A"/>
    <w:rsid w:val="00F75413"/>
    <w:rsid w:val="00F7545A"/>
    <w:rsid w:val="00F7601D"/>
    <w:rsid w:val="00F77FAE"/>
    <w:rsid w:val="00F80852"/>
    <w:rsid w:val="00F83F5B"/>
    <w:rsid w:val="00F84B71"/>
    <w:rsid w:val="00F852F2"/>
    <w:rsid w:val="00F85DEA"/>
    <w:rsid w:val="00F93180"/>
    <w:rsid w:val="00F94DE6"/>
    <w:rsid w:val="00F97028"/>
    <w:rsid w:val="00FA17B0"/>
    <w:rsid w:val="00FA188C"/>
    <w:rsid w:val="00FA47DE"/>
    <w:rsid w:val="00FA4B84"/>
    <w:rsid w:val="00FA50B0"/>
    <w:rsid w:val="00FA567A"/>
    <w:rsid w:val="00FB4011"/>
    <w:rsid w:val="00FB59DC"/>
    <w:rsid w:val="00FB5B50"/>
    <w:rsid w:val="00FB5F49"/>
    <w:rsid w:val="00FB738A"/>
    <w:rsid w:val="00FB7BB7"/>
    <w:rsid w:val="00FC01EF"/>
    <w:rsid w:val="00FC4FDF"/>
    <w:rsid w:val="00FC5103"/>
    <w:rsid w:val="00FC554E"/>
    <w:rsid w:val="00FC58CB"/>
    <w:rsid w:val="00FC6630"/>
    <w:rsid w:val="00FD5131"/>
    <w:rsid w:val="00FE1FA9"/>
    <w:rsid w:val="00FE3AD5"/>
    <w:rsid w:val="00FE6A42"/>
    <w:rsid w:val="00FF21F0"/>
    <w:rsid w:val="00FF260C"/>
    <w:rsid w:val="00FF31E7"/>
    <w:rsid w:val="00FF50FD"/>
    <w:rsid w:val="00FF6C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1ECF"/>
  <w15:docId w15:val="{A6AD7B7D-B657-4D61-99AC-44C68B5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5BB5"/>
    <w:rPr>
      <w:rFonts w:ascii="Times New Roman" w:eastAsia="Times New Roman" w:hAnsi="Times New Roman" w:cs="Times New Roman"/>
      <w:lang w:val="hr-HR"/>
    </w:rPr>
  </w:style>
  <w:style w:type="paragraph" w:styleId="Naslov1">
    <w:name w:val="heading 1"/>
    <w:basedOn w:val="Normal"/>
    <w:link w:val="Naslov1Char"/>
    <w:uiPriority w:val="1"/>
    <w:qFormat/>
    <w:pPr>
      <w:ind w:left="1440"/>
      <w:jc w:val="both"/>
      <w:outlineLvl w:val="0"/>
    </w:pPr>
    <w:rPr>
      <w:b/>
      <w:bCs/>
      <w:sz w:val="24"/>
      <w:szCs w:val="24"/>
    </w:rPr>
  </w:style>
  <w:style w:type="paragraph" w:styleId="Naslov2">
    <w:name w:val="heading 2"/>
    <w:basedOn w:val="Normal"/>
    <w:next w:val="Normal"/>
    <w:link w:val="Naslov2Char"/>
    <w:uiPriority w:val="9"/>
    <w:semiHidden/>
    <w:unhideWhenUsed/>
    <w:qFormat/>
    <w:rsid w:val="005317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24"/>
      <w:szCs w:val="24"/>
    </w:rPr>
  </w:style>
  <w:style w:type="paragraph" w:styleId="Odlomakpopisa">
    <w:name w:val="List Paragraph"/>
    <w:basedOn w:val="Normal"/>
    <w:uiPriority w:val="34"/>
    <w:qFormat/>
    <w:pPr>
      <w:ind w:left="2160" w:hanging="361"/>
    </w:pPr>
  </w:style>
  <w:style w:type="paragraph" w:customStyle="1" w:styleId="TableParagraph">
    <w:name w:val="Table Paragraph"/>
    <w:basedOn w:val="Normal"/>
    <w:uiPriority w:val="1"/>
    <w:qFormat/>
    <w:pPr>
      <w:spacing w:line="247" w:lineRule="exact"/>
      <w:ind w:left="107"/>
    </w:pPr>
  </w:style>
  <w:style w:type="paragraph" w:styleId="Zaglavlje">
    <w:name w:val="header"/>
    <w:basedOn w:val="Normal"/>
    <w:link w:val="ZaglavljeChar"/>
    <w:uiPriority w:val="99"/>
    <w:unhideWhenUsed/>
    <w:rsid w:val="00EA5133"/>
    <w:pPr>
      <w:tabs>
        <w:tab w:val="center" w:pos="4536"/>
        <w:tab w:val="right" w:pos="9072"/>
      </w:tabs>
    </w:pPr>
  </w:style>
  <w:style w:type="character" w:customStyle="1" w:styleId="ZaglavljeChar">
    <w:name w:val="Zaglavlje Char"/>
    <w:basedOn w:val="Zadanifontodlomka"/>
    <w:link w:val="Zaglavlje"/>
    <w:uiPriority w:val="99"/>
    <w:rsid w:val="00EA5133"/>
    <w:rPr>
      <w:rFonts w:ascii="Times New Roman" w:eastAsia="Times New Roman" w:hAnsi="Times New Roman" w:cs="Times New Roman"/>
      <w:lang w:val="hr-HR"/>
    </w:rPr>
  </w:style>
  <w:style w:type="paragraph" w:styleId="Podnoje">
    <w:name w:val="footer"/>
    <w:basedOn w:val="Normal"/>
    <w:link w:val="PodnojeChar"/>
    <w:uiPriority w:val="99"/>
    <w:unhideWhenUsed/>
    <w:rsid w:val="00EA5133"/>
    <w:pPr>
      <w:tabs>
        <w:tab w:val="center" w:pos="4536"/>
        <w:tab w:val="right" w:pos="9072"/>
      </w:tabs>
    </w:pPr>
  </w:style>
  <w:style w:type="character" w:customStyle="1" w:styleId="PodnojeChar">
    <w:name w:val="Podnožje Char"/>
    <w:basedOn w:val="Zadanifontodlomka"/>
    <w:link w:val="Podnoje"/>
    <w:uiPriority w:val="99"/>
    <w:rsid w:val="00EA5133"/>
    <w:rPr>
      <w:rFonts w:ascii="Times New Roman" w:eastAsia="Times New Roman" w:hAnsi="Times New Roman" w:cs="Times New Roman"/>
      <w:lang w:val="hr-HR"/>
    </w:rPr>
  </w:style>
  <w:style w:type="character" w:customStyle="1" w:styleId="TijelotekstaChar">
    <w:name w:val="Tijelo teksta Char"/>
    <w:basedOn w:val="Zadanifontodlomka"/>
    <w:link w:val="Tijeloteksta"/>
    <w:uiPriority w:val="1"/>
    <w:rsid w:val="00485EBC"/>
    <w:rPr>
      <w:rFonts w:ascii="Times New Roman" w:eastAsia="Times New Roman" w:hAnsi="Times New Roman" w:cs="Times New Roman"/>
      <w:sz w:val="24"/>
      <w:szCs w:val="24"/>
      <w:lang w:val="hr-HR"/>
    </w:rPr>
  </w:style>
  <w:style w:type="paragraph" w:styleId="Tekstbalonia">
    <w:name w:val="Balloon Text"/>
    <w:basedOn w:val="Normal"/>
    <w:link w:val="TekstbaloniaChar"/>
    <w:uiPriority w:val="99"/>
    <w:semiHidden/>
    <w:unhideWhenUsed/>
    <w:rsid w:val="003D141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D1413"/>
    <w:rPr>
      <w:rFonts w:ascii="Segoe UI" w:eastAsia="Times New Roman" w:hAnsi="Segoe UI" w:cs="Segoe UI"/>
      <w:sz w:val="18"/>
      <w:szCs w:val="18"/>
      <w:lang w:val="hr-HR"/>
    </w:rPr>
  </w:style>
  <w:style w:type="character" w:styleId="Hiperveza">
    <w:name w:val="Hyperlink"/>
    <w:basedOn w:val="Zadanifontodlomka"/>
    <w:uiPriority w:val="99"/>
    <w:semiHidden/>
    <w:unhideWhenUsed/>
    <w:rsid w:val="00C61757"/>
    <w:rPr>
      <w:color w:val="0000FF"/>
      <w:u w:val="single"/>
    </w:rPr>
  </w:style>
  <w:style w:type="character" w:customStyle="1" w:styleId="Naslov1Char">
    <w:name w:val="Naslov 1 Char"/>
    <w:basedOn w:val="Zadanifontodlomka"/>
    <w:link w:val="Naslov1"/>
    <w:uiPriority w:val="1"/>
    <w:rsid w:val="00B34097"/>
    <w:rPr>
      <w:rFonts w:ascii="Times New Roman" w:eastAsia="Times New Roman" w:hAnsi="Times New Roman" w:cs="Times New Roman"/>
      <w:b/>
      <w:bCs/>
      <w:sz w:val="24"/>
      <w:szCs w:val="24"/>
      <w:lang w:val="hr-HR"/>
    </w:rPr>
  </w:style>
  <w:style w:type="paragraph" w:customStyle="1" w:styleId="SubTitle2">
    <w:name w:val="SubTitle 2"/>
    <w:basedOn w:val="Normal"/>
    <w:rsid w:val="00255385"/>
    <w:pPr>
      <w:widowControl/>
      <w:autoSpaceDE/>
      <w:autoSpaceDN/>
      <w:spacing w:after="240"/>
      <w:jc w:val="center"/>
    </w:pPr>
    <w:rPr>
      <w:b/>
      <w:snapToGrid w:val="0"/>
      <w:sz w:val="32"/>
      <w:szCs w:val="20"/>
      <w:lang w:val="en-GB"/>
    </w:rPr>
  </w:style>
  <w:style w:type="paragraph" w:styleId="StandardWeb">
    <w:name w:val="Normal (Web)"/>
    <w:basedOn w:val="Normal"/>
    <w:uiPriority w:val="99"/>
    <w:unhideWhenUsed/>
    <w:rsid w:val="005E7EA1"/>
    <w:pPr>
      <w:widowControl/>
      <w:autoSpaceDE/>
      <w:autoSpaceDN/>
      <w:spacing w:after="150"/>
      <w:ind w:left="150" w:right="150"/>
    </w:pPr>
    <w:rPr>
      <w:sz w:val="24"/>
      <w:szCs w:val="24"/>
      <w:lang w:eastAsia="hr-HR"/>
    </w:rPr>
  </w:style>
  <w:style w:type="character" w:customStyle="1" w:styleId="Naslov2Char">
    <w:name w:val="Naslov 2 Char"/>
    <w:basedOn w:val="Zadanifontodlomka"/>
    <w:link w:val="Naslov2"/>
    <w:uiPriority w:val="9"/>
    <w:semiHidden/>
    <w:rsid w:val="005317E2"/>
    <w:rPr>
      <w:rFonts w:asciiTheme="majorHAnsi" w:eastAsiaTheme="majorEastAsia" w:hAnsiTheme="majorHAnsi" w:cstheme="majorBidi"/>
      <w:color w:val="365F91" w:themeColor="accent1" w:themeShade="BF"/>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947774">
      <w:bodyDiv w:val="1"/>
      <w:marLeft w:val="0"/>
      <w:marRight w:val="0"/>
      <w:marTop w:val="0"/>
      <w:marBottom w:val="0"/>
      <w:divBdr>
        <w:top w:val="none" w:sz="0" w:space="0" w:color="auto"/>
        <w:left w:val="none" w:sz="0" w:space="0" w:color="auto"/>
        <w:bottom w:val="none" w:sz="0" w:space="0" w:color="auto"/>
        <w:right w:val="none" w:sz="0" w:space="0" w:color="auto"/>
      </w:divBdr>
    </w:div>
    <w:div w:id="1853756418">
      <w:bodyDiv w:val="1"/>
      <w:marLeft w:val="0"/>
      <w:marRight w:val="0"/>
      <w:marTop w:val="0"/>
      <w:marBottom w:val="0"/>
      <w:divBdr>
        <w:top w:val="none" w:sz="0" w:space="0" w:color="auto"/>
        <w:left w:val="none" w:sz="0" w:space="0" w:color="auto"/>
        <w:bottom w:val="none" w:sz="0" w:space="0" w:color="auto"/>
        <w:right w:val="none" w:sz="0" w:space="0" w:color="auto"/>
      </w:divBdr>
    </w:div>
    <w:div w:id="2099205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5BE0-1B56-4487-9B09-EDD96631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8573</Words>
  <Characters>48867</Characters>
  <Application>Microsoft Office Word</Application>
  <DocSecurity>0</DocSecurity>
  <Lines>407</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Microsoftov račun</cp:lastModifiedBy>
  <cp:revision>102</cp:revision>
  <cp:lastPrinted>2025-07-23T05:49:00Z</cp:lastPrinted>
  <dcterms:created xsi:type="dcterms:W3CDTF">2024-02-05T14:24:00Z</dcterms:created>
  <dcterms:modified xsi:type="dcterms:W3CDTF">2025-07-23T06:16:00Z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ies>
</file>